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FDC54" w14:textId="4589118E" w:rsidR="006358BA" w:rsidRDefault="007105DF" w:rsidP="00D3489B">
      <w:pPr>
        <w:pStyle w:val="CRCoverPage"/>
        <w:tabs>
          <w:tab w:val="right" w:pos="9639"/>
        </w:tabs>
        <w:spacing w:after="0"/>
        <w:jc w:val="both"/>
        <w:rPr>
          <w:b/>
          <w:i/>
          <w:noProof/>
          <w:sz w:val="28"/>
          <w:lang w:eastAsia="zh-CN"/>
        </w:rPr>
      </w:pPr>
      <w:bookmarkStart w:id="0" w:name="_Ref399006623"/>
      <w:bookmarkStart w:id="1" w:name="_Toc92513360"/>
      <w:r>
        <w:rPr>
          <w:rFonts w:cs="Arial"/>
          <w:b/>
          <w:sz w:val="24"/>
          <w:szCs w:val="24"/>
        </w:rPr>
        <w:t xml:space="preserve">3GPP TSG-RAN WG4 Meeting </w:t>
      </w:r>
      <w:hyperlink r:id="rId8" w:history="1">
        <w:r w:rsidR="00CB7907">
          <w:rPr>
            <w:rFonts w:cs="Arial"/>
            <w:b/>
            <w:sz w:val="24"/>
            <w:szCs w:val="24"/>
            <w:lang w:eastAsia="zh-CN"/>
          </w:rPr>
          <w:t>9</w:t>
        </w:r>
        <w:r w:rsidR="00A750B9">
          <w:rPr>
            <w:rFonts w:cs="Arial"/>
            <w:b/>
            <w:sz w:val="24"/>
            <w:szCs w:val="24"/>
            <w:lang w:eastAsia="zh-CN"/>
          </w:rPr>
          <w:t>2</w:t>
        </w:r>
      </w:hyperlink>
      <w:r w:rsidR="006358BA">
        <w:rPr>
          <w:b/>
          <w:i/>
          <w:noProof/>
          <w:sz w:val="28"/>
        </w:rPr>
        <w:tab/>
      </w:r>
      <w:r w:rsidR="00267E9F" w:rsidRPr="00267E9F">
        <w:rPr>
          <w:rFonts w:cs="Arial"/>
          <w:b/>
          <w:sz w:val="24"/>
          <w:szCs w:val="24"/>
        </w:rPr>
        <w:t>R4-190</w:t>
      </w:r>
      <w:r w:rsidR="00F53F7B">
        <w:rPr>
          <w:rFonts w:cs="Arial"/>
          <w:b/>
          <w:sz w:val="24"/>
          <w:szCs w:val="24"/>
        </w:rPr>
        <w:t>9945</w:t>
      </w:r>
    </w:p>
    <w:p w14:paraId="369D083E" w14:textId="4E242BF8" w:rsidR="00172067" w:rsidRDefault="00A750B9" w:rsidP="00D415E5">
      <w:pPr>
        <w:pStyle w:val="CRCoverPage"/>
        <w:spacing w:after="0"/>
        <w:outlineLvl w:val="0"/>
        <w:rPr>
          <w:b/>
          <w:bCs/>
          <w:noProof/>
          <w:sz w:val="22"/>
          <w:lang w:eastAsia="zh-CN"/>
        </w:rPr>
      </w:pPr>
      <w:r>
        <w:rPr>
          <w:b/>
          <w:bCs/>
          <w:noProof/>
          <w:sz w:val="22"/>
          <w:lang w:eastAsia="zh-CN"/>
        </w:rPr>
        <w:t>Ljubljana</w:t>
      </w:r>
      <w:r w:rsidR="00172067">
        <w:rPr>
          <w:b/>
          <w:bCs/>
          <w:noProof/>
          <w:sz w:val="22"/>
          <w:lang w:eastAsia="zh-CN"/>
        </w:rPr>
        <w:t xml:space="preserve">, </w:t>
      </w:r>
      <w:r>
        <w:rPr>
          <w:b/>
          <w:bCs/>
          <w:noProof/>
          <w:sz w:val="22"/>
          <w:lang w:eastAsia="zh-CN"/>
        </w:rPr>
        <w:t>Slovenia</w:t>
      </w:r>
      <w:r w:rsidR="00172067">
        <w:rPr>
          <w:b/>
          <w:bCs/>
          <w:noProof/>
          <w:sz w:val="22"/>
          <w:lang w:eastAsia="zh-CN"/>
        </w:rPr>
        <w:t xml:space="preserve">, </w:t>
      </w:r>
      <w:r>
        <w:rPr>
          <w:b/>
          <w:bCs/>
          <w:noProof/>
          <w:sz w:val="22"/>
          <w:lang w:eastAsia="zh-CN"/>
        </w:rPr>
        <w:t>26</w:t>
      </w:r>
      <w:r w:rsidR="00172067">
        <w:rPr>
          <w:b/>
          <w:bCs/>
          <w:noProof/>
          <w:sz w:val="22"/>
          <w:lang w:eastAsia="zh-CN"/>
        </w:rPr>
        <w:t xml:space="preserve">th – </w:t>
      </w:r>
      <w:r>
        <w:rPr>
          <w:b/>
          <w:bCs/>
          <w:noProof/>
          <w:sz w:val="22"/>
          <w:lang w:eastAsia="zh-CN"/>
        </w:rPr>
        <w:t>30</w:t>
      </w:r>
      <w:r w:rsidR="00172067">
        <w:rPr>
          <w:b/>
          <w:bCs/>
          <w:noProof/>
          <w:sz w:val="22"/>
          <w:lang w:eastAsia="zh-CN"/>
        </w:rPr>
        <w:t xml:space="preserve">th </w:t>
      </w:r>
      <w:r>
        <w:rPr>
          <w:b/>
          <w:bCs/>
          <w:noProof/>
          <w:sz w:val="22"/>
          <w:lang w:eastAsia="zh-CN"/>
        </w:rPr>
        <w:t xml:space="preserve">August </w:t>
      </w:r>
      <w:r w:rsidR="00172067">
        <w:rPr>
          <w:b/>
          <w:bCs/>
          <w:noProof/>
          <w:sz w:val="22"/>
          <w:lang w:eastAsia="zh-CN"/>
        </w:rPr>
        <w:t>2019</w:t>
      </w:r>
    </w:p>
    <w:p w14:paraId="31DCE6A5" w14:textId="77777777" w:rsidR="00D415E5" w:rsidRDefault="00D415E5" w:rsidP="00D415E5">
      <w:pPr>
        <w:pStyle w:val="CRCoverPage"/>
        <w:spacing w:after="0"/>
        <w:outlineLvl w:val="0"/>
        <w:rPr>
          <w:b/>
          <w:noProof/>
          <w:sz w:val="24"/>
        </w:rPr>
      </w:pPr>
    </w:p>
    <w:p w14:paraId="0A0D91D2" w14:textId="06B2CD24" w:rsidR="00675C27" w:rsidRPr="00CE783C" w:rsidRDefault="00675C27" w:rsidP="00D3489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80E743B"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3F0B0C">
        <w:rPr>
          <w:rFonts w:cs="Arial"/>
          <w:sz w:val="22"/>
        </w:rPr>
        <w:t>I</w:t>
      </w:r>
      <w:r w:rsidR="006534E4">
        <w:rPr>
          <w:rFonts w:cs="Arial"/>
          <w:sz w:val="22"/>
        </w:rPr>
        <w:t xml:space="preserve">nner </w:t>
      </w:r>
      <w:r w:rsidR="003F0B0C">
        <w:rPr>
          <w:rFonts w:cs="Arial"/>
          <w:sz w:val="22"/>
        </w:rPr>
        <w:t>RB Allocation</w:t>
      </w:r>
      <w:r w:rsidR="009A2865">
        <w:rPr>
          <w:rFonts w:cs="Arial"/>
          <w:sz w:val="22"/>
        </w:rPr>
        <w:t>s Region 1</w:t>
      </w:r>
      <w:r w:rsidR="003F0B0C">
        <w:rPr>
          <w:rFonts w:cs="Arial"/>
          <w:sz w:val="22"/>
        </w:rPr>
        <w:t xml:space="preserve"> Extension </w:t>
      </w:r>
      <w:r w:rsidR="00953E13">
        <w:rPr>
          <w:rFonts w:cs="Arial"/>
          <w:sz w:val="22"/>
        </w:rPr>
        <w:t>for</w:t>
      </w:r>
      <w:r w:rsidR="006534E4">
        <w:rPr>
          <w:rFonts w:cs="Arial"/>
          <w:sz w:val="22"/>
        </w:rPr>
        <w:t xml:space="preserve"> </w:t>
      </w:r>
      <w:r w:rsidR="003F0B0C">
        <w:rPr>
          <w:rFonts w:cs="Arial"/>
          <w:sz w:val="22"/>
        </w:rPr>
        <w:t>Power C</w:t>
      </w:r>
      <w:r w:rsidR="006534E4">
        <w:rPr>
          <w:rFonts w:cs="Arial"/>
          <w:sz w:val="22"/>
        </w:rPr>
        <w:t>lass 3</w:t>
      </w:r>
      <w:r w:rsidR="003F0B0C">
        <w:rPr>
          <w:rFonts w:cs="Arial"/>
          <w:sz w:val="22"/>
        </w:rPr>
        <w:t xml:space="preserve"> Operation</w:t>
      </w:r>
      <w:r w:rsidR="006534E4">
        <w:rPr>
          <w:rFonts w:cs="Arial"/>
          <w:sz w:val="22"/>
        </w:rPr>
        <w:t xml:space="preserve"> in FR2</w:t>
      </w:r>
    </w:p>
    <w:p w14:paraId="2242B23F" w14:textId="77777777" w:rsidR="00221D90" w:rsidRPr="00ED2F28" w:rsidRDefault="00221D90" w:rsidP="00D3489B">
      <w:pPr>
        <w:pStyle w:val="TAC"/>
        <w:ind w:left="1985" w:hanging="1985"/>
        <w:jc w:val="both"/>
        <w:rPr>
          <w:rFonts w:eastAsia="SimSun" w:cs="Arial"/>
          <w:sz w:val="22"/>
          <w:lang w:eastAsia="zh-CN"/>
        </w:rPr>
      </w:pPr>
    </w:p>
    <w:p w14:paraId="73BCD5A1" w14:textId="5567912E" w:rsidR="0074607D" w:rsidRDefault="00675C27" w:rsidP="006E632F">
      <w:pPr>
        <w:ind w:left="1985" w:hanging="1985"/>
        <w:jc w:val="both"/>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6534E4" w:rsidRPr="006534E4">
        <w:rPr>
          <w:rFonts w:ascii="Arial" w:hAnsi="Arial" w:cs="Arial"/>
          <w:sz w:val="22"/>
        </w:rPr>
        <w:t>9.13.9 Im</w:t>
      </w:r>
      <w:r w:rsidR="00235789">
        <w:rPr>
          <w:rFonts w:ascii="Arial" w:hAnsi="Arial" w:cs="Arial"/>
          <w:sz w:val="22"/>
        </w:rPr>
        <w:t xml:space="preserve">provement of UE MPR </w:t>
      </w:r>
      <w:r w:rsidR="006534E4" w:rsidRPr="006534E4">
        <w:rPr>
          <w:rFonts w:ascii="Arial" w:hAnsi="Arial" w:cs="Arial"/>
          <w:sz w:val="22"/>
        </w:rPr>
        <w:t>[NR_RF_FR2_req_enh]</w:t>
      </w:r>
    </w:p>
    <w:p w14:paraId="2E5C6AEA" w14:textId="14EDDE12"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6534E4">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B815B05" w:rsidR="00577141" w:rsidRPr="00266639" w:rsidRDefault="003F0B0C" w:rsidP="00577141">
      <w:pPr>
        <w:overflowPunct/>
        <w:autoSpaceDE/>
        <w:autoSpaceDN/>
        <w:adjustRightInd/>
        <w:spacing w:after="0"/>
        <w:jc w:val="both"/>
        <w:textAlignment w:val="auto"/>
        <w:rPr>
          <w:rFonts w:eastAsia="SimSun"/>
          <w:lang w:eastAsia="zh-CN"/>
        </w:rPr>
      </w:pPr>
      <w:r>
        <w:rPr>
          <w:rFonts w:eastAsia="SimSun"/>
          <w:lang w:eastAsia="zh-CN"/>
        </w:rPr>
        <w:t xml:space="preserve">In RAN4#91, experimental measurements performed in </w:t>
      </w:r>
      <w:r w:rsidR="0031373D">
        <w:rPr>
          <w:rFonts w:eastAsia="SimSun"/>
          <w:lang w:eastAsia="zh-CN"/>
        </w:rPr>
        <w:t>B</w:t>
      </w:r>
      <w:r>
        <w:rPr>
          <w:rFonts w:eastAsia="SimSun"/>
          <w:lang w:eastAsia="zh-CN"/>
        </w:rPr>
        <w:t>and n258 using 100</w:t>
      </w:r>
      <w:r w:rsidR="0031373D">
        <w:rPr>
          <w:rFonts w:eastAsia="SimSun"/>
          <w:lang w:eastAsia="zh-CN"/>
        </w:rPr>
        <w:t xml:space="preserve"> </w:t>
      </w:r>
      <w:r>
        <w:rPr>
          <w:rFonts w:eastAsia="SimSun"/>
          <w:lang w:eastAsia="zh-CN"/>
        </w:rPr>
        <w:t>MHz channel bandwidth (CBW), SCS120 kHz QPSK modulation showed that on a small number of selected test points, the Release 15 Inner RB allocation</w:t>
      </w:r>
      <w:r w:rsidR="00235789">
        <w:rPr>
          <w:rFonts w:eastAsia="SimSun"/>
          <w:lang w:eastAsia="zh-CN"/>
        </w:rPr>
        <w:t>s Region 1</w:t>
      </w:r>
      <w:r>
        <w:rPr>
          <w:rFonts w:eastAsia="SimSun"/>
          <w:lang w:eastAsia="zh-CN"/>
        </w:rPr>
        <w:t xml:space="preserve"> can be extended for PC3 operation in FR2 [1]. The reported measured data seemed to be in good agreement with simulated new MPR values due to OBW for PC3 operation</w:t>
      </w:r>
      <w:r w:rsidR="00D96BA3">
        <w:rPr>
          <w:rFonts w:eastAsia="SimSun"/>
          <w:lang w:eastAsia="zh-CN"/>
        </w:rPr>
        <w:t xml:space="preserve"> [2]</w:t>
      </w:r>
      <w:r>
        <w:rPr>
          <w:rFonts w:eastAsia="SimSun"/>
          <w:lang w:eastAsia="zh-CN"/>
        </w:rPr>
        <w:t>. This contribut</w:t>
      </w:r>
      <w:r w:rsidR="00235789">
        <w:rPr>
          <w:rFonts w:eastAsia="SimSun"/>
          <w:lang w:eastAsia="zh-CN"/>
        </w:rPr>
        <w:t xml:space="preserve">ion proposes to extend </w:t>
      </w:r>
      <w:r>
        <w:rPr>
          <w:rFonts w:eastAsia="SimSun"/>
          <w:lang w:eastAsia="zh-CN"/>
        </w:rPr>
        <w:t>Inner RB Allocation</w:t>
      </w:r>
      <w:r w:rsidR="00235789">
        <w:rPr>
          <w:rFonts w:eastAsia="SimSun"/>
          <w:lang w:eastAsia="zh-CN"/>
        </w:rPr>
        <w:t>s Region 1</w:t>
      </w:r>
      <w:r>
        <w:rPr>
          <w:rFonts w:eastAsia="SimSun"/>
          <w:lang w:eastAsia="zh-CN"/>
        </w:rPr>
        <w:t xml:space="preserve"> for PC3 in CBW less or equal to 200</w:t>
      </w:r>
      <w:r w:rsidR="0031373D">
        <w:rPr>
          <w:rFonts w:eastAsia="SimSun"/>
          <w:lang w:eastAsia="zh-CN"/>
        </w:rPr>
        <w:t xml:space="preserve"> </w:t>
      </w:r>
      <w:proofErr w:type="spellStart"/>
      <w:r>
        <w:rPr>
          <w:rFonts w:eastAsia="SimSun"/>
          <w:lang w:eastAsia="zh-CN"/>
        </w:rPr>
        <w:t>MHz</w:t>
      </w:r>
      <w:r w:rsidR="006F68D0">
        <w:rPr>
          <w:rFonts w:eastAsia="SimSun"/>
          <w:lang w:eastAsia="zh-CN"/>
        </w:rPr>
        <w:t>.</w:t>
      </w:r>
      <w:proofErr w:type="spellEnd"/>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69F157AD" w14:textId="42A13FD8" w:rsidR="006202F7" w:rsidRPr="003F0B0C" w:rsidRDefault="003F0B0C" w:rsidP="00717C09">
      <w:pPr>
        <w:pStyle w:val="Heading2"/>
        <w:spacing w:after="240"/>
        <w:ind w:left="709" w:hanging="709"/>
        <w:rPr>
          <w:lang w:val="en-US"/>
        </w:rPr>
      </w:pPr>
      <w:r w:rsidRPr="003F0B0C">
        <w:rPr>
          <w:lang w:val="en-US"/>
        </w:rPr>
        <w:t>Release 15</w:t>
      </w:r>
      <w:r w:rsidR="00E1375D" w:rsidRPr="003F0B0C">
        <w:rPr>
          <w:lang w:val="en-US"/>
        </w:rPr>
        <w:t xml:space="preserve"> </w:t>
      </w:r>
      <w:r w:rsidRPr="003F0B0C">
        <w:rPr>
          <w:lang w:val="en-US"/>
        </w:rPr>
        <w:t>PC3 MPR Requirements for FR2 operation</w:t>
      </w:r>
    </w:p>
    <w:p w14:paraId="1B29279C" w14:textId="08922AAD" w:rsidR="003F0B0C" w:rsidRDefault="00D96BA3" w:rsidP="006202F7">
      <w:pPr>
        <w:tabs>
          <w:tab w:val="left" w:pos="5103"/>
        </w:tabs>
        <w:spacing w:after="0"/>
        <w:jc w:val="both"/>
        <w:rPr>
          <w:rFonts w:eastAsia="SimSun"/>
          <w:lang w:eastAsia="zh-CN"/>
        </w:rPr>
      </w:pPr>
      <w:r>
        <w:rPr>
          <w:rFonts w:eastAsia="SimSun"/>
          <w:lang w:eastAsia="zh-CN"/>
        </w:rPr>
        <w:t>A</w:t>
      </w:r>
      <w:r w:rsidR="003F0B0C">
        <w:rPr>
          <w:rFonts w:eastAsia="SimSun"/>
          <w:lang w:eastAsia="zh-CN"/>
        </w:rPr>
        <w:t>t RAN4#91</w:t>
      </w:r>
      <w:r>
        <w:rPr>
          <w:rFonts w:eastAsia="SimSun"/>
          <w:lang w:eastAsia="zh-CN"/>
        </w:rPr>
        <w:t>, the following changes to the UE MPR for PC3 in FR2 have been agreed:</w:t>
      </w:r>
    </w:p>
    <w:p w14:paraId="5D7AD0F2" w14:textId="65A6B0F7" w:rsidR="003F0B0C" w:rsidRDefault="009A2865" w:rsidP="00235789">
      <w:pPr>
        <w:pStyle w:val="ListParagraph"/>
        <w:numPr>
          <w:ilvl w:val="0"/>
          <w:numId w:val="33"/>
        </w:numPr>
      </w:pPr>
      <w:r>
        <w:t xml:space="preserve">Tables defining </w:t>
      </w:r>
      <w:r w:rsidRPr="00617B38">
        <w:t>MPR</w:t>
      </w:r>
      <w:r w:rsidRPr="00235789">
        <w:rPr>
          <w:vertAlign w:val="subscript"/>
        </w:rPr>
        <w:t xml:space="preserve">WT </w:t>
      </w:r>
      <w:r w:rsidRPr="00235789">
        <w:t xml:space="preserve">have been modified </w:t>
      </w:r>
      <w:r w:rsidR="00D96BA3">
        <w:t xml:space="preserve">and </w:t>
      </w:r>
      <w:r w:rsidR="00F11257">
        <w:t xml:space="preserve">new </w:t>
      </w:r>
      <w:r w:rsidR="00D96BA3">
        <w:t>equations</w:t>
      </w:r>
      <w:r w:rsidR="00F11257">
        <w:t xml:space="preserve"> have been</w:t>
      </w:r>
      <w:r w:rsidR="00D96BA3">
        <w:t xml:space="preserve"> agreed </w:t>
      </w:r>
      <w:r w:rsidRPr="00235789">
        <w:t xml:space="preserve">to clearly distinguish </w:t>
      </w:r>
      <w:r w:rsidR="00D96BA3">
        <w:t>Inner RB allocations Region 1 from Edge RB allocations,</w:t>
      </w:r>
    </w:p>
    <w:p w14:paraId="3DBD259F" w14:textId="3D875813" w:rsidR="00D96BA3" w:rsidRPr="00D96BA3" w:rsidRDefault="00F11257" w:rsidP="00D96BA3">
      <w:pPr>
        <w:pStyle w:val="ListParagraph"/>
        <w:numPr>
          <w:ilvl w:val="0"/>
          <w:numId w:val="33"/>
        </w:numPr>
      </w:pPr>
      <w:r>
        <w:t>The e</w:t>
      </w:r>
      <w:r w:rsidR="00D96BA3">
        <w:t>quation</w:t>
      </w:r>
      <w:r>
        <w:t>s</w:t>
      </w:r>
      <w:r w:rsidR="00D96BA3">
        <w:t xml:space="preserve"> which </w:t>
      </w:r>
      <w:r w:rsidR="00D96BA3" w:rsidRPr="00D96BA3">
        <w:t>speci</w:t>
      </w:r>
      <w:r>
        <w:t>fy</w:t>
      </w:r>
      <w:r w:rsidR="00D96BA3" w:rsidRPr="00D96BA3">
        <w:t xml:space="preserve"> </w:t>
      </w:r>
      <w:r w:rsidR="00D96BA3">
        <w:t xml:space="preserve">the </w:t>
      </w:r>
      <w:r w:rsidR="00D96BA3" w:rsidRPr="00D96BA3">
        <w:t>valid RB allocation ranges for RB allocations</w:t>
      </w:r>
      <w:r w:rsidR="00D96BA3">
        <w:t xml:space="preserve"> fulfilling the </w:t>
      </w:r>
      <w:proofErr w:type="spellStart"/>
      <w:r w:rsidR="00D96BA3" w:rsidRPr="00D96BA3">
        <w:t>MPR</w:t>
      </w:r>
      <w:r w:rsidR="00D96BA3" w:rsidRPr="00D96BA3">
        <w:rPr>
          <w:vertAlign w:val="subscript"/>
        </w:rPr>
        <w:t>narrow</w:t>
      </w:r>
      <w:proofErr w:type="spellEnd"/>
      <w:r w:rsidR="00D96BA3">
        <w:t xml:space="preserve"> requirements have been corrected to account for observations presented in [3].</w:t>
      </w:r>
    </w:p>
    <w:p w14:paraId="5B79C9C7" w14:textId="2DA3FA08" w:rsidR="00227970" w:rsidRDefault="00D96BA3" w:rsidP="00E1375D">
      <w:pPr>
        <w:tabs>
          <w:tab w:val="left" w:pos="5103"/>
        </w:tabs>
        <w:spacing w:after="0"/>
        <w:jc w:val="both"/>
      </w:pPr>
      <w:r>
        <w:t xml:space="preserve">These changes are summarized in Figure 1 below </w:t>
      </w:r>
      <w:r w:rsidR="00F11257">
        <w:t xml:space="preserve">which </w:t>
      </w:r>
      <w:r w:rsidR="00227970">
        <w:t>summarizes</w:t>
      </w:r>
      <w:r w:rsidR="007A60D2">
        <w:t xml:space="preserve"> the agreed MPR definition using 100 MHz C</w:t>
      </w:r>
      <w:r w:rsidR="00F11257">
        <w:t xml:space="preserve">BW SCS 120kHz QPSK </w:t>
      </w:r>
      <w:r w:rsidR="007A60D2">
        <w:t xml:space="preserve">modulation </w:t>
      </w:r>
      <w:r w:rsidR="00F11257">
        <w:t xml:space="preserve">PC3 operation </w:t>
      </w:r>
      <w:r w:rsidR="007A60D2">
        <w:t>in n258</w:t>
      </w:r>
      <w:r w:rsidR="00F11257">
        <w:t>.</w:t>
      </w:r>
      <w:r w:rsidR="007A60D2">
        <w:t xml:space="preserve"> </w:t>
      </w:r>
      <w:r w:rsidR="00F11257">
        <w:t>T</w:t>
      </w:r>
      <w:r w:rsidR="007A60D2">
        <w:t xml:space="preserve">he selected </w:t>
      </w:r>
      <w:r w:rsidR="00F11257">
        <w:t xml:space="preserve">measurements </w:t>
      </w:r>
      <w:r w:rsidR="007A60D2">
        <w:t>test points</w:t>
      </w:r>
      <w:r w:rsidR="00F11257">
        <w:t xml:space="preserve"> of [1] are highlighted </w:t>
      </w:r>
      <w:r w:rsidR="007A60D2">
        <w:t xml:space="preserve">in grey </w:t>
      </w:r>
      <w:r w:rsidR="00F11257">
        <w:t>cells as a reminder.</w:t>
      </w:r>
    </w:p>
    <w:p w14:paraId="61A0EDD1" w14:textId="3B75B976" w:rsidR="00227970" w:rsidRDefault="00AA38DB" w:rsidP="00E1375D">
      <w:pPr>
        <w:tabs>
          <w:tab w:val="left" w:pos="5103"/>
        </w:tabs>
        <w:spacing w:after="0"/>
        <w:jc w:val="both"/>
      </w:pPr>
      <w:r w:rsidRPr="00AA38DB">
        <w:rPr>
          <w:noProof/>
        </w:rPr>
        <w:lastRenderedPageBreak/>
        <w:drawing>
          <wp:inline distT="0" distB="0" distL="0" distR="0" wp14:anchorId="00543F2A" wp14:editId="1E9D5C23">
            <wp:extent cx="5732145" cy="5321349"/>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2145" cy="5321349"/>
                    </a:xfrm>
                    <a:prstGeom prst="rect">
                      <a:avLst/>
                    </a:prstGeom>
                    <a:noFill/>
                    <a:ln>
                      <a:noFill/>
                    </a:ln>
                  </pic:spPr>
                </pic:pic>
              </a:graphicData>
            </a:graphic>
          </wp:inline>
        </w:drawing>
      </w:r>
    </w:p>
    <w:p w14:paraId="0323CB42" w14:textId="47142314" w:rsidR="00227970" w:rsidRDefault="00227970" w:rsidP="00E1375D">
      <w:pPr>
        <w:tabs>
          <w:tab w:val="left" w:pos="5103"/>
        </w:tabs>
        <w:spacing w:after="0"/>
        <w:jc w:val="both"/>
      </w:pPr>
    </w:p>
    <w:p w14:paraId="16051295" w14:textId="77777777" w:rsidR="00626246" w:rsidRDefault="00626246" w:rsidP="00626246">
      <w:pPr>
        <w:pStyle w:val="Caption"/>
        <w:keepNext/>
      </w:pPr>
      <w:r>
        <w:t xml:space="preserve">Figure </w:t>
      </w:r>
      <w:r>
        <w:fldChar w:fldCharType="begin"/>
      </w:r>
      <w:r>
        <w:instrText xml:space="preserve"> SEQ Table \* ARABIC </w:instrText>
      </w:r>
      <w:r>
        <w:fldChar w:fldCharType="separate"/>
      </w:r>
      <w:r>
        <w:rPr>
          <w:noProof/>
        </w:rPr>
        <w:t>1</w:t>
      </w:r>
      <w:r>
        <w:rPr>
          <w:noProof/>
        </w:rPr>
        <w:fldChar w:fldCharType="end"/>
      </w:r>
      <w:r>
        <w:t>:FR2 agreed Edge RB allocations (denoted with</w:t>
      </w:r>
      <w:r w:rsidRPr="00227970">
        <w:t xml:space="preserve"> letter “E”), Inner RB allocations Region 1 (</w:t>
      </w:r>
      <w:r>
        <w:t xml:space="preserve">denoted </w:t>
      </w:r>
      <w:r w:rsidRPr="00227970">
        <w:t xml:space="preserve">with symbol “R1”) and RB allocations fulfilling the </w:t>
      </w:r>
      <w:proofErr w:type="spellStart"/>
      <w:r w:rsidRPr="00227970">
        <w:t>MPRnarrow</w:t>
      </w:r>
      <w:proofErr w:type="spellEnd"/>
      <w:r w:rsidRPr="00227970">
        <w:t xml:space="preserve"> (</w:t>
      </w:r>
      <w:r>
        <w:t xml:space="preserve">denoted </w:t>
      </w:r>
      <w:r w:rsidRPr="00227970">
        <w:t xml:space="preserve">with letter “N”) criteria for the case of 100 MHz CBW, SCS 120 kHz, and QPSK modulation vs. </w:t>
      </w:r>
      <w:proofErr w:type="spellStart"/>
      <w:r w:rsidRPr="00227970">
        <w:t>RBstart</w:t>
      </w:r>
      <w:proofErr w:type="spellEnd"/>
      <w:r w:rsidRPr="00227970">
        <w:t xml:space="preserve"> on the x-axis is and L</w:t>
      </w:r>
      <w:r w:rsidRPr="00227970">
        <w:rPr>
          <w:rFonts w:ascii="Times New Roman Bold" w:hAnsi="Times New Roman Bold"/>
          <w:vertAlign w:val="subscript"/>
        </w:rPr>
        <w:t>CRB</w:t>
      </w:r>
      <w:r w:rsidRPr="00227970">
        <w:t xml:space="preserve"> on the y-axis. </w:t>
      </w:r>
      <w:r>
        <w:t>Black dot: DFT-S-OFDM test point, Circle: CP-OFDM test point.</w:t>
      </w:r>
    </w:p>
    <w:p w14:paraId="62E933FC" w14:textId="277C39E4" w:rsidR="008D62A3" w:rsidRDefault="008D62A3" w:rsidP="008D62A3">
      <w:pPr>
        <w:pStyle w:val="ListParagraph"/>
        <w:tabs>
          <w:tab w:val="left" w:pos="5103"/>
        </w:tabs>
        <w:spacing w:after="0"/>
        <w:ind w:left="360"/>
        <w:jc w:val="both"/>
        <w:rPr>
          <w:b/>
        </w:rPr>
      </w:pPr>
    </w:p>
    <w:p w14:paraId="7CF4F73A" w14:textId="6EA748CD" w:rsidR="00577141" w:rsidRPr="00251F67" w:rsidRDefault="00251F67" w:rsidP="00717C09">
      <w:pPr>
        <w:pStyle w:val="Heading2"/>
        <w:tabs>
          <w:tab w:val="clear" w:pos="576"/>
          <w:tab w:val="num" w:pos="709"/>
        </w:tabs>
        <w:spacing w:after="240"/>
        <w:ind w:left="709" w:hanging="709"/>
        <w:rPr>
          <w:lang w:val="en-US"/>
        </w:rPr>
      </w:pPr>
      <w:r w:rsidRPr="00251F67">
        <w:rPr>
          <w:lang w:val="en-US"/>
        </w:rPr>
        <w:t>Extending Inner RB Allocations Region 1 for PC3 UEs in CBW&lt;= 200MHz</w:t>
      </w:r>
    </w:p>
    <w:p w14:paraId="16B29005" w14:textId="717D58E7" w:rsidR="00251F67" w:rsidRDefault="00251F67" w:rsidP="00251F67">
      <w:pPr>
        <w:tabs>
          <w:tab w:val="left" w:pos="5103"/>
        </w:tabs>
        <w:spacing w:after="0"/>
        <w:jc w:val="both"/>
      </w:pPr>
      <w:r>
        <w:t>For each of the test points shown in Figure 1, the measured Power Amplifier</w:t>
      </w:r>
      <w:r w:rsidR="00F11257">
        <w:t xml:space="preserve"> back-off matches</w:t>
      </w:r>
      <w:r>
        <w:t xml:space="preserve"> the allowed back-off corresponding to Inner RB A</w:t>
      </w:r>
      <w:r w:rsidR="00F11257">
        <w:t>llocations Region 1. Yet, according to R</w:t>
      </w:r>
      <w:r>
        <w:t>elease 15</w:t>
      </w:r>
      <w:r w:rsidR="00F11257">
        <w:t xml:space="preserve"> requirements</w:t>
      </w:r>
      <w:r>
        <w:t xml:space="preserve">, these RB allocations </w:t>
      </w:r>
      <w:r w:rsidR="00D30129">
        <w:t xml:space="preserve">are considered </w:t>
      </w:r>
      <w:r>
        <w:t xml:space="preserve">Edge RB allocations and therefore </w:t>
      </w:r>
      <w:r w:rsidR="00D30129">
        <w:t xml:space="preserve">the UE </w:t>
      </w:r>
      <w:r>
        <w:t>transmit power is sub-optimal. Simulations in [2] present an exhaustive set of triangles in which similar observation can be made. Figure 2 below is an update of the Region 1 extension concept presented in [1] using the same example of PC3 UE operated in a 100</w:t>
      </w:r>
      <w:r w:rsidR="002F71E0">
        <w:t xml:space="preserve"> </w:t>
      </w:r>
      <w:r>
        <w:t>MHz CBW, SCS 120 kHz and QPSK modulation.</w:t>
      </w:r>
    </w:p>
    <w:p w14:paraId="36C3C39E" w14:textId="0F345194" w:rsidR="00251F67" w:rsidRDefault="00251F67" w:rsidP="00251F67">
      <w:pPr>
        <w:tabs>
          <w:tab w:val="left" w:pos="5103"/>
        </w:tabs>
        <w:spacing w:after="0"/>
        <w:jc w:val="both"/>
      </w:pPr>
    </w:p>
    <w:p w14:paraId="433F4E05" w14:textId="23E14E4E" w:rsidR="00251F67" w:rsidRDefault="00F11257" w:rsidP="00251F67">
      <w:pPr>
        <w:jc w:val="both"/>
        <w:rPr>
          <w:b/>
        </w:rPr>
      </w:pPr>
      <w:r>
        <w:rPr>
          <w:b/>
        </w:rPr>
        <w:t xml:space="preserve"> “N</w:t>
      </w:r>
      <w:r w:rsidR="00251F67">
        <w:rPr>
          <w:b/>
        </w:rPr>
        <w:t>”.</w:t>
      </w:r>
    </w:p>
    <w:p w14:paraId="2A1EB28D" w14:textId="52889C00" w:rsidR="00251F67" w:rsidRDefault="00F11257" w:rsidP="00251F67">
      <w:pPr>
        <w:tabs>
          <w:tab w:val="left" w:pos="5103"/>
        </w:tabs>
        <w:spacing w:after="0"/>
        <w:jc w:val="both"/>
      </w:pPr>
      <w:r w:rsidRPr="00F11257">
        <w:lastRenderedPageBreak/>
        <w:t xml:space="preserve"> </w:t>
      </w:r>
      <w:r w:rsidRPr="00F11257">
        <w:rPr>
          <w:noProof/>
        </w:rPr>
        <w:drawing>
          <wp:inline distT="0" distB="0" distL="0" distR="0" wp14:anchorId="55B06687" wp14:editId="7AC2309D">
            <wp:extent cx="5732145" cy="5176547"/>
            <wp:effectExtent l="0" t="0" r="190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2145" cy="5176547"/>
                    </a:xfrm>
                    <a:prstGeom prst="rect">
                      <a:avLst/>
                    </a:prstGeom>
                    <a:noFill/>
                    <a:ln>
                      <a:noFill/>
                    </a:ln>
                  </pic:spPr>
                </pic:pic>
              </a:graphicData>
            </a:graphic>
          </wp:inline>
        </w:drawing>
      </w:r>
    </w:p>
    <w:p w14:paraId="5B4BC3AA" w14:textId="77777777" w:rsidR="00251F67" w:rsidRDefault="00251F67" w:rsidP="00251F67">
      <w:pPr>
        <w:tabs>
          <w:tab w:val="left" w:pos="5103"/>
        </w:tabs>
        <w:spacing w:after="0"/>
        <w:jc w:val="both"/>
      </w:pPr>
    </w:p>
    <w:p w14:paraId="494F8E8A" w14:textId="47ABE35A" w:rsidR="00626246" w:rsidRDefault="00626246" w:rsidP="00626246">
      <w:pPr>
        <w:tabs>
          <w:tab w:val="left" w:pos="5103"/>
        </w:tabs>
        <w:spacing w:after="0"/>
        <w:jc w:val="both"/>
        <w:rPr>
          <w:b/>
        </w:rPr>
      </w:pPr>
      <w:r>
        <w:rPr>
          <w:b/>
        </w:rPr>
        <w:t xml:space="preserve">Figure 2: New MPR concept for Inner RB allocations Region 1 using FR2 PC3 UE QPSK operation in a 100MHz CBW at SCS 120 kHz. The proposed new inner RB allocation Region 1 contour is highlighted in </w:t>
      </w:r>
      <w:bookmarkStart w:id="2" w:name="_GoBack"/>
      <w:bookmarkEnd w:id="2"/>
      <w:r>
        <w:rPr>
          <w:b/>
        </w:rPr>
        <w:t xml:space="preserve">cells “N3” with black borders, the current inner RB allocation region 1 MPR contour is highlighted with dark green borders. The contours of the </w:t>
      </w:r>
      <w:proofErr w:type="spellStart"/>
      <w:r>
        <w:rPr>
          <w:b/>
        </w:rPr>
        <w:t>MPR</w:t>
      </w:r>
      <w:r w:rsidRPr="00AD6E85">
        <w:rPr>
          <w:rFonts w:ascii="Times New Roman Bold" w:hAnsi="Times New Roman Bold"/>
          <w:b/>
          <w:vertAlign w:val="subscript"/>
        </w:rPr>
        <w:t>narrow</w:t>
      </w:r>
      <w:proofErr w:type="spellEnd"/>
      <w:r>
        <w:rPr>
          <w:b/>
        </w:rPr>
        <w:t xml:space="preserve"> region are unchanged and shown with red cells denoted</w:t>
      </w:r>
    </w:p>
    <w:p w14:paraId="2FAAD4A1" w14:textId="77777777" w:rsidR="00626246" w:rsidRDefault="00626246" w:rsidP="00251F67">
      <w:pPr>
        <w:tabs>
          <w:tab w:val="left" w:pos="5103"/>
        </w:tabs>
        <w:spacing w:after="0"/>
        <w:jc w:val="both"/>
        <w:rPr>
          <w:b/>
        </w:rPr>
      </w:pPr>
    </w:p>
    <w:p w14:paraId="049E4546" w14:textId="0C1C2B03" w:rsidR="00251F67" w:rsidRDefault="00251F67" w:rsidP="00251F67">
      <w:pPr>
        <w:tabs>
          <w:tab w:val="left" w:pos="5103"/>
        </w:tabs>
        <w:spacing w:after="0"/>
        <w:jc w:val="both"/>
        <w:rPr>
          <w:b/>
        </w:rPr>
      </w:pPr>
      <w:r>
        <w:rPr>
          <w:b/>
        </w:rPr>
        <w:t>Observation 1:</w:t>
      </w:r>
      <w:r w:rsidRPr="001E3299">
        <w:rPr>
          <w:b/>
        </w:rPr>
        <w:t xml:space="preserve"> </w:t>
      </w:r>
    </w:p>
    <w:p w14:paraId="46D45337" w14:textId="13994B31" w:rsidR="00251F67" w:rsidRPr="00227970" w:rsidRDefault="00251F67" w:rsidP="00251F67">
      <w:pPr>
        <w:tabs>
          <w:tab w:val="left" w:pos="5103"/>
        </w:tabs>
        <w:spacing w:after="0"/>
        <w:jc w:val="both"/>
        <w:rPr>
          <w:b/>
        </w:rPr>
      </w:pPr>
      <w:r>
        <w:rPr>
          <w:b/>
        </w:rPr>
        <w:t>FR2 Inner RB allocations Region 1 for PC3 operation in CBW &lt;= 200 MHz is sub-optimal. Region 1 can be extended</w:t>
      </w:r>
      <w:r w:rsidR="000E4A17">
        <w:rPr>
          <w:b/>
        </w:rPr>
        <w:t>.</w:t>
      </w:r>
    </w:p>
    <w:p w14:paraId="7A89D84A" w14:textId="77777777" w:rsidR="00B33544" w:rsidRDefault="00B33544" w:rsidP="00C12F52"/>
    <w:p w14:paraId="36D68B91" w14:textId="17D52260" w:rsidR="00251F67" w:rsidRDefault="00D30129" w:rsidP="00C12F52">
      <w:r>
        <w:t>For Release 16, we</w:t>
      </w:r>
      <w:r w:rsidR="00B33544">
        <w:t xml:space="preserve"> propose to adopt a </w:t>
      </w:r>
      <w:r w:rsidR="00F11257">
        <w:t xml:space="preserve">new Inner RB Allocations </w:t>
      </w:r>
      <w:r>
        <w:t xml:space="preserve">Region 1 </w:t>
      </w:r>
      <w:r w:rsidR="00780D0A">
        <w:t>definition</w:t>
      </w:r>
      <w:r>
        <w:t xml:space="preserve"> </w:t>
      </w:r>
      <w:r w:rsidR="00F11257">
        <w:t>which corresponds the black highlighted contour and light green cells denoted “R1”</w:t>
      </w:r>
      <w:r w:rsidR="00B33544">
        <w:t xml:space="preserve"> </w:t>
      </w:r>
      <w:r w:rsidR="00F11257">
        <w:t>shown</w:t>
      </w:r>
      <w:r w:rsidR="00B33544">
        <w:t xml:space="preserve"> in Figure 2 </w:t>
      </w:r>
      <w:r w:rsidR="00F11257">
        <w:t>for the example of 100</w:t>
      </w:r>
      <w:r w:rsidR="00780D0A">
        <w:t xml:space="preserve"> </w:t>
      </w:r>
      <w:r w:rsidR="00F11257">
        <w:t>MHz CBW SCS 120 kHz QPSK PC3 operation</w:t>
      </w:r>
      <w:r w:rsidR="00B33544">
        <w:t xml:space="preserve">. </w:t>
      </w:r>
      <w:r w:rsidR="00F95775">
        <w:t>The proposed scheme ensures a symmetrical gap is provided for any RB fulfilling the new Inner RB allocation Region 1 definition. For example, the case highlighted in Figure 2 shows that at L</w:t>
      </w:r>
      <w:r w:rsidR="00F95775" w:rsidRPr="00F11257">
        <w:rPr>
          <w:vertAlign w:val="subscript"/>
        </w:rPr>
        <w:t>CRB</w:t>
      </w:r>
      <w:r w:rsidR="00F95775">
        <w:t xml:space="preserve"> =10 RB, the gap is symmetric and is 10RB wide. This new</w:t>
      </w:r>
      <w:r w:rsidR="00B33544">
        <w:t xml:space="preserve"> </w:t>
      </w:r>
      <w:r w:rsidR="00F95775">
        <w:t xml:space="preserve">concept may bring significant benefits as the range of RB allocations benefiting from the Inner Allocation low MPR values is much wider than the current Release 15 requirements. </w:t>
      </w:r>
      <w:r w:rsidR="00780D0A">
        <w:t>T</w:t>
      </w:r>
      <w:r w:rsidR="00F95775">
        <w:t>herefore</w:t>
      </w:r>
      <w:r w:rsidR="00780D0A">
        <w:t>, we</w:t>
      </w:r>
      <w:r w:rsidR="00F95775">
        <w:t xml:space="preserve"> make the following proposal</w:t>
      </w:r>
      <w:r w:rsidR="00780D0A">
        <w:t>:</w:t>
      </w:r>
    </w:p>
    <w:p w14:paraId="494BC9C0" w14:textId="77777777" w:rsidR="00B8727E" w:rsidRPr="00F11257" w:rsidRDefault="00251F67" w:rsidP="00251F67">
      <w:pPr>
        <w:tabs>
          <w:tab w:val="left" w:pos="5103"/>
        </w:tabs>
        <w:spacing w:after="0"/>
        <w:jc w:val="both"/>
        <w:rPr>
          <w:b/>
        </w:rPr>
      </w:pPr>
      <w:r>
        <w:rPr>
          <w:b/>
        </w:rPr>
        <w:t>Proposal 1:</w:t>
      </w:r>
      <w:r w:rsidRPr="001E3299">
        <w:rPr>
          <w:b/>
        </w:rPr>
        <w:t xml:space="preserve"> </w:t>
      </w:r>
    </w:p>
    <w:p w14:paraId="34CEEEC9" w14:textId="3BCC2A11" w:rsidR="00251F67" w:rsidRPr="00F11257" w:rsidRDefault="000E4A17" w:rsidP="00251F67">
      <w:pPr>
        <w:tabs>
          <w:tab w:val="left" w:pos="5103"/>
        </w:tabs>
        <w:spacing w:after="0"/>
        <w:jc w:val="both"/>
        <w:rPr>
          <w:b/>
        </w:rPr>
      </w:pPr>
      <w:r w:rsidRPr="00F11257">
        <w:rPr>
          <w:b/>
        </w:rPr>
        <w:t xml:space="preserve">Approve the following changes </w:t>
      </w:r>
      <w:r w:rsidR="00F11257" w:rsidRPr="00F11257">
        <w:rPr>
          <w:b/>
        </w:rPr>
        <w:t>to equations which specify the valid RB allocation ranges for RB allocations fulfilling Inner RB Allocations Region 1 for P</w:t>
      </w:r>
      <w:r w:rsidRPr="00F11257">
        <w:rPr>
          <w:b/>
        </w:rPr>
        <w:t>C3</w:t>
      </w:r>
      <w:r w:rsidR="00F11257" w:rsidRPr="00F11257">
        <w:rPr>
          <w:b/>
        </w:rPr>
        <w:t xml:space="preserve"> UEs in</w:t>
      </w:r>
      <w:r w:rsidRPr="00F11257">
        <w:rPr>
          <w:b/>
        </w:rPr>
        <w:t xml:space="preserve"> CBW &lt;= 200</w:t>
      </w:r>
      <w:r w:rsidR="00780D0A">
        <w:rPr>
          <w:b/>
        </w:rPr>
        <w:t xml:space="preserve"> </w:t>
      </w:r>
      <w:proofErr w:type="spellStart"/>
      <w:r w:rsidRPr="00F11257">
        <w:rPr>
          <w:b/>
        </w:rPr>
        <w:t>MHz.</w:t>
      </w:r>
      <w:proofErr w:type="spellEnd"/>
      <w:r w:rsidRPr="00F11257">
        <w:rPr>
          <w:b/>
        </w:rPr>
        <w:t xml:space="preserve"> The changes for 400</w:t>
      </w:r>
      <w:r w:rsidR="00780D0A">
        <w:rPr>
          <w:b/>
        </w:rPr>
        <w:t xml:space="preserve"> </w:t>
      </w:r>
      <w:r w:rsidRPr="00F11257">
        <w:rPr>
          <w:b/>
        </w:rPr>
        <w:t>MHz are FFS.</w:t>
      </w:r>
    </w:p>
    <w:p w14:paraId="312C7493" w14:textId="77777777" w:rsidR="000E4A17" w:rsidRPr="00F11257" w:rsidRDefault="000E4A17" w:rsidP="000E4A17">
      <w:pPr>
        <w:rPr>
          <w:b/>
        </w:rPr>
      </w:pPr>
      <w:r w:rsidRPr="00F11257">
        <w:rPr>
          <w:b/>
        </w:rPr>
        <w:t xml:space="preserve">For power class 3, MPR for contiguous allocations is defined as: </w:t>
      </w:r>
    </w:p>
    <w:p w14:paraId="1180FD14" w14:textId="77777777" w:rsidR="000E4A17" w:rsidRPr="00F11257" w:rsidRDefault="000E4A17" w:rsidP="000E4A17">
      <w:pPr>
        <w:pStyle w:val="EQ"/>
        <w:jc w:val="center"/>
        <w:rPr>
          <w:b/>
        </w:rPr>
      </w:pPr>
      <w:r w:rsidRPr="00F11257">
        <w:rPr>
          <w:b/>
        </w:rPr>
        <w:lastRenderedPageBreak/>
        <w:t>MPR = max(MPR</w:t>
      </w:r>
      <w:r w:rsidRPr="00F11257">
        <w:rPr>
          <w:b/>
          <w:vertAlign w:val="subscript"/>
        </w:rPr>
        <w:t>WT</w:t>
      </w:r>
      <w:r w:rsidRPr="00F11257">
        <w:rPr>
          <w:b/>
        </w:rPr>
        <w:t>, MPR</w:t>
      </w:r>
      <w:r w:rsidRPr="00F11257">
        <w:rPr>
          <w:b/>
          <w:vertAlign w:val="subscript"/>
        </w:rPr>
        <w:t>narrow</w:t>
      </w:r>
      <w:r w:rsidRPr="00F11257">
        <w:rPr>
          <w:b/>
        </w:rPr>
        <w:t>)</w:t>
      </w:r>
    </w:p>
    <w:p w14:paraId="1C799B4B" w14:textId="77777777" w:rsidR="000E4A17" w:rsidRPr="00F11257" w:rsidRDefault="000E4A17" w:rsidP="000E4A17">
      <w:pPr>
        <w:rPr>
          <w:b/>
        </w:rPr>
      </w:pPr>
      <w:r w:rsidRPr="00F11257">
        <w:rPr>
          <w:b/>
        </w:rPr>
        <w:t>Where,</w:t>
      </w:r>
    </w:p>
    <w:p w14:paraId="00475A7A" w14:textId="77777777" w:rsidR="000E4A17" w:rsidRPr="00F11257" w:rsidRDefault="000E4A17" w:rsidP="000E4A17">
      <w:pPr>
        <w:pStyle w:val="B1"/>
        <w:rPr>
          <w:b/>
        </w:rPr>
      </w:pPr>
      <w:proofErr w:type="spellStart"/>
      <w:r w:rsidRPr="00F11257">
        <w:rPr>
          <w:rFonts w:hint="eastAsia"/>
          <w:b/>
        </w:rPr>
        <w:t>MPR</w:t>
      </w:r>
      <w:r w:rsidRPr="00F11257">
        <w:rPr>
          <w:b/>
          <w:vertAlign w:val="subscript"/>
        </w:rPr>
        <w:t>narrow</w:t>
      </w:r>
      <w:proofErr w:type="spellEnd"/>
      <w:r w:rsidRPr="00F11257">
        <w:rPr>
          <w:rFonts w:hint="eastAsia"/>
          <w:b/>
        </w:rPr>
        <w:t xml:space="preserve"> = 2.5 dB, when the allocated RB size is less than or equal to 1.44</w:t>
      </w:r>
      <w:r w:rsidRPr="00F11257">
        <w:rPr>
          <w:b/>
        </w:rPr>
        <w:t xml:space="preserve"> </w:t>
      </w:r>
      <w:r w:rsidRPr="00F11257">
        <w:rPr>
          <w:rFonts w:hint="eastAsia"/>
          <w:b/>
        </w:rPr>
        <w:t>MHz, and 0</w:t>
      </w:r>
      <w:r w:rsidRPr="00F11257">
        <w:rPr>
          <w:b/>
        </w:rPr>
        <w:t xml:space="preserve"> </w:t>
      </w:r>
      <w:r w:rsidRPr="00F11257">
        <w:rPr>
          <w:rFonts w:hint="eastAsia"/>
          <w:b/>
        </w:rPr>
        <w:t>≤</w:t>
      </w:r>
      <w:r w:rsidRPr="00F11257">
        <w:rPr>
          <w:rFonts w:hint="eastAsia"/>
          <w:b/>
        </w:rPr>
        <w:t xml:space="preserve"> </w:t>
      </w:r>
      <w:proofErr w:type="spellStart"/>
      <w:r w:rsidRPr="00F11257">
        <w:rPr>
          <w:rFonts w:hint="eastAsia"/>
          <w:b/>
        </w:rPr>
        <w:t>RB</w:t>
      </w:r>
      <w:r w:rsidRPr="00F11257">
        <w:rPr>
          <w:b/>
          <w:vertAlign w:val="subscript"/>
        </w:rPr>
        <w:t>start</w:t>
      </w:r>
      <w:proofErr w:type="spellEnd"/>
      <w:r w:rsidRPr="00F11257">
        <w:rPr>
          <w:b/>
          <w:vertAlign w:val="subscript"/>
        </w:rPr>
        <w:t xml:space="preserve"> </w:t>
      </w:r>
      <w:r w:rsidRPr="00F11257">
        <w:rPr>
          <w:rFonts w:hint="eastAsia"/>
          <w:b/>
        </w:rPr>
        <w:t xml:space="preserve">&lt; </w:t>
      </w:r>
      <w:proofErr w:type="gramStart"/>
      <w:r w:rsidRPr="00F11257">
        <w:rPr>
          <w:rFonts w:hint="eastAsia"/>
          <w:b/>
        </w:rPr>
        <w:t>Ceil(</w:t>
      </w:r>
      <w:proofErr w:type="gramEnd"/>
      <w:r w:rsidRPr="00F11257">
        <w:rPr>
          <w:rFonts w:hint="eastAsia"/>
          <w:b/>
        </w:rPr>
        <w:t>1/3 N</w:t>
      </w:r>
      <w:r w:rsidRPr="00F11257">
        <w:rPr>
          <w:b/>
          <w:vertAlign w:val="subscript"/>
        </w:rPr>
        <w:t>RB</w:t>
      </w:r>
      <w:r w:rsidRPr="00F11257">
        <w:rPr>
          <w:rFonts w:hint="eastAsia"/>
          <w:b/>
        </w:rPr>
        <w:t>) or Ceil(2/3N</w:t>
      </w:r>
      <w:r w:rsidRPr="00F11257">
        <w:rPr>
          <w:b/>
          <w:vertAlign w:val="subscript"/>
        </w:rPr>
        <w:t>RB</w:t>
      </w:r>
      <w:r w:rsidRPr="00F11257">
        <w:rPr>
          <w:rFonts w:hint="eastAsia"/>
          <w:b/>
        </w:rPr>
        <w:t>)</w:t>
      </w:r>
      <w:r w:rsidRPr="00F11257">
        <w:rPr>
          <w:b/>
        </w:rPr>
        <w:t xml:space="preserve"> </w:t>
      </w:r>
      <w:r w:rsidRPr="00F11257">
        <w:rPr>
          <w:rFonts w:hint="eastAsia"/>
          <w:b/>
        </w:rPr>
        <w:t>≤</w:t>
      </w:r>
      <w:r w:rsidRPr="00F11257">
        <w:rPr>
          <w:rFonts w:hint="eastAsia"/>
          <w:b/>
        </w:rPr>
        <w:t xml:space="preserve"> </w:t>
      </w:r>
      <w:proofErr w:type="spellStart"/>
      <w:r w:rsidRPr="00F11257">
        <w:rPr>
          <w:rFonts w:hint="eastAsia"/>
          <w:b/>
        </w:rPr>
        <w:t>RB</w:t>
      </w:r>
      <w:r w:rsidRPr="00F11257">
        <w:rPr>
          <w:b/>
          <w:vertAlign w:val="subscript"/>
        </w:rPr>
        <w:t>start</w:t>
      </w:r>
      <w:proofErr w:type="spellEnd"/>
      <w:r w:rsidRPr="00F11257">
        <w:rPr>
          <w:b/>
        </w:rPr>
        <w:t xml:space="preserve"> </w:t>
      </w:r>
      <w:r w:rsidRPr="00F11257">
        <w:rPr>
          <w:rFonts w:hint="eastAsia"/>
          <w:b/>
        </w:rPr>
        <w:t>≤</w:t>
      </w:r>
      <w:r w:rsidRPr="00F11257">
        <w:rPr>
          <w:rFonts w:hint="eastAsia"/>
          <w:b/>
        </w:rPr>
        <w:t xml:space="preserve"> N</w:t>
      </w:r>
      <w:r w:rsidRPr="00F11257">
        <w:rPr>
          <w:b/>
          <w:vertAlign w:val="subscript"/>
        </w:rPr>
        <w:t>RB</w:t>
      </w:r>
      <w:r w:rsidRPr="00F11257">
        <w:rPr>
          <w:rFonts w:hint="eastAsia"/>
          <w:b/>
        </w:rPr>
        <w:t>-L</w:t>
      </w:r>
      <w:r w:rsidRPr="00F11257">
        <w:rPr>
          <w:b/>
          <w:vertAlign w:val="subscript"/>
        </w:rPr>
        <w:t>CRB</w:t>
      </w:r>
      <w:r w:rsidRPr="00F11257">
        <w:rPr>
          <w:rFonts w:eastAsia="Malgun Gothic"/>
          <w:b/>
        </w:rPr>
        <w:t>, where N</w:t>
      </w:r>
      <w:r w:rsidRPr="00F11257">
        <w:rPr>
          <w:rFonts w:eastAsia="Malgun Gothic"/>
          <w:b/>
          <w:vertAlign w:val="subscript"/>
        </w:rPr>
        <w:t>RB</w:t>
      </w:r>
      <w:r w:rsidRPr="00F11257">
        <w:rPr>
          <w:rFonts w:eastAsia="Malgun Gothic"/>
          <w:b/>
        </w:rPr>
        <w:t xml:space="preserve"> is the maximum transmission bandwidth configuration defined in Table 5.3.2-1.</w:t>
      </w:r>
    </w:p>
    <w:p w14:paraId="4C669FB6" w14:textId="77777777" w:rsidR="000E4A17" w:rsidRPr="00F11257" w:rsidRDefault="000E4A17" w:rsidP="000E4A17">
      <w:pPr>
        <w:pStyle w:val="B1"/>
        <w:rPr>
          <w:b/>
        </w:rPr>
      </w:pPr>
      <w:r w:rsidRPr="00F11257">
        <w:rPr>
          <w:b/>
        </w:rPr>
        <w:t>MPR</w:t>
      </w:r>
      <w:r w:rsidRPr="00F11257">
        <w:rPr>
          <w:b/>
          <w:vertAlign w:val="subscript"/>
        </w:rPr>
        <w:t>WT</w:t>
      </w:r>
      <w:r w:rsidRPr="00F11257">
        <w:rPr>
          <w:b/>
        </w:rPr>
        <w:t xml:space="preserve"> is the maximum power reduction due to modulation orders, transmission bandwidth configurations listed in Table 5.3.2-1, and waveform types. MPR</w:t>
      </w:r>
      <w:r w:rsidRPr="00F11257">
        <w:rPr>
          <w:b/>
          <w:vertAlign w:val="subscript"/>
        </w:rPr>
        <w:t>WT</w:t>
      </w:r>
      <w:r w:rsidRPr="00F11257">
        <w:rPr>
          <w:b/>
        </w:rPr>
        <w:t xml:space="preserve"> is defined in Table 6.2.2.3-1</w:t>
      </w:r>
      <w:r w:rsidRPr="00F11257">
        <w:rPr>
          <w:rFonts w:eastAsia="Malgun Gothic"/>
          <w:b/>
        </w:rPr>
        <w:t xml:space="preserve"> </w:t>
      </w:r>
      <w:r w:rsidRPr="00F11257">
        <w:rPr>
          <w:b/>
        </w:rPr>
        <w:t>and Table 6.2.2.3-2.</w:t>
      </w:r>
    </w:p>
    <w:p w14:paraId="0E26B20B" w14:textId="01696B07" w:rsidR="000E4A17" w:rsidRPr="00F11257" w:rsidRDefault="000E4A17" w:rsidP="000E4A17">
      <w:pPr>
        <w:rPr>
          <w:rFonts w:eastAsia="SimSun"/>
          <w:b/>
        </w:rPr>
      </w:pPr>
      <w:r w:rsidRPr="00F11257">
        <w:rPr>
          <w:rFonts w:eastAsia="Malgun Gothic"/>
          <w:b/>
        </w:rPr>
        <w:t>Where</w:t>
      </w:r>
      <w:r w:rsidRPr="00F11257">
        <w:rPr>
          <w:rFonts w:eastAsia="Yu Mincho"/>
          <w:b/>
        </w:rPr>
        <w:t xml:space="preserve"> the </w:t>
      </w:r>
      <w:r w:rsidRPr="00F11257">
        <w:rPr>
          <w:rFonts w:eastAsia="Malgun Gothic"/>
          <w:b/>
        </w:rPr>
        <w:t xml:space="preserve">following parameters are defined to specify valid RB allocation ranges for </w:t>
      </w:r>
      <w:r w:rsidRPr="00F11257">
        <w:rPr>
          <w:rFonts w:eastAsia="SimSun"/>
          <w:b/>
        </w:rPr>
        <w:t xml:space="preserve">RB allocations in </w:t>
      </w:r>
      <w:r w:rsidRPr="00F11257">
        <w:rPr>
          <w:rFonts w:eastAsia="Malgun Gothic"/>
          <w:b/>
        </w:rPr>
        <w:t>Tables 6.2.2.3-1 and 6.2.2.3-2</w:t>
      </w:r>
      <w:r w:rsidRPr="00F11257">
        <w:rPr>
          <w:rFonts w:eastAsia="SimSun"/>
          <w:b/>
        </w:rPr>
        <w:t>:</w:t>
      </w:r>
    </w:p>
    <w:p w14:paraId="72F93DC6" w14:textId="1209A6B4" w:rsidR="000E4A17" w:rsidRPr="00F11257" w:rsidRDefault="000E4A17" w:rsidP="000E4A17">
      <w:pPr>
        <w:pStyle w:val="EQ"/>
        <w:jc w:val="center"/>
        <w:rPr>
          <w:b/>
        </w:rPr>
      </w:pPr>
      <w:r w:rsidRPr="00F11257">
        <w:rPr>
          <w:b/>
        </w:rPr>
        <w:t>RB</w:t>
      </w:r>
      <w:r w:rsidRPr="00F11257">
        <w:rPr>
          <w:b/>
          <w:vertAlign w:val="subscript"/>
        </w:rPr>
        <w:t>Start,Low</w:t>
      </w:r>
      <w:r w:rsidRPr="00F11257">
        <w:rPr>
          <w:b/>
        </w:rPr>
        <w:t xml:space="preserve"> = max(1, L</w:t>
      </w:r>
      <w:r w:rsidRPr="00F11257">
        <w:rPr>
          <w:b/>
          <w:vertAlign w:val="subscript"/>
        </w:rPr>
        <w:t>CRB</w:t>
      </w:r>
      <w:r w:rsidRPr="00F11257">
        <w:rPr>
          <w:b/>
        </w:rPr>
        <w:t>)</w:t>
      </w:r>
    </w:p>
    <w:p w14:paraId="06C37F92" w14:textId="7FA863A9" w:rsidR="000E4A17" w:rsidRPr="00F11257" w:rsidRDefault="000E4A17" w:rsidP="000E4A17">
      <w:pPr>
        <w:rPr>
          <w:b/>
        </w:rPr>
      </w:pPr>
      <w:r w:rsidRPr="00F11257">
        <w:rPr>
          <w:b/>
        </w:rPr>
        <w:t xml:space="preserve">where </w:t>
      </w:r>
      <w:proofErr w:type="gramStart"/>
      <w:r w:rsidRPr="00F11257">
        <w:rPr>
          <w:b/>
        </w:rPr>
        <w:t>max(</w:t>
      </w:r>
      <w:proofErr w:type="gramEnd"/>
      <w:r w:rsidRPr="00F11257">
        <w:rPr>
          <w:b/>
        </w:rPr>
        <w:t>) indicates the largest value of all arguments.</w:t>
      </w:r>
    </w:p>
    <w:p w14:paraId="1501C933" w14:textId="77777777" w:rsidR="000E4A17" w:rsidRPr="00F11257" w:rsidRDefault="000E4A17" w:rsidP="000E4A17">
      <w:pPr>
        <w:pStyle w:val="EQ"/>
        <w:jc w:val="center"/>
        <w:rPr>
          <w:b/>
        </w:rPr>
      </w:pPr>
      <w:r w:rsidRPr="00F11257">
        <w:rPr>
          <w:b/>
        </w:rPr>
        <w:t>RB</w:t>
      </w:r>
      <w:r w:rsidRPr="00F11257">
        <w:rPr>
          <w:b/>
          <w:vertAlign w:val="subscript"/>
        </w:rPr>
        <w:t>Start,High</w:t>
      </w:r>
      <w:r w:rsidRPr="00F11257">
        <w:rPr>
          <w:b/>
        </w:rPr>
        <w:t xml:space="preserve"> = N</w:t>
      </w:r>
      <w:r w:rsidRPr="00F11257">
        <w:rPr>
          <w:b/>
          <w:vertAlign w:val="subscript"/>
        </w:rPr>
        <w:t>RB</w:t>
      </w:r>
      <w:r w:rsidRPr="00F11257">
        <w:rPr>
          <w:b/>
        </w:rPr>
        <w:t xml:space="preserve"> – RB</w:t>
      </w:r>
      <w:r w:rsidRPr="00F11257">
        <w:rPr>
          <w:b/>
          <w:vertAlign w:val="subscript"/>
        </w:rPr>
        <w:t>Start,Low</w:t>
      </w:r>
      <w:r w:rsidRPr="00F11257">
        <w:rPr>
          <w:b/>
        </w:rPr>
        <w:t xml:space="preserve"> – L</w:t>
      </w:r>
      <w:r w:rsidRPr="00F11257">
        <w:rPr>
          <w:b/>
          <w:vertAlign w:val="subscript"/>
        </w:rPr>
        <w:t>CRB</w:t>
      </w:r>
    </w:p>
    <w:p w14:paraId="1AF29FA1" w14:textId="7D890CAF" w:rsidR="000E4A17" w:rsidRPr="00F11257" w:rsidRDefault="000E4A17" w:rsidP="000E4A17">
      <w:pPr>
        <w:rPr>
          <w:rFonts w:eastAsia="SimSun"/>
          <w:b/>
        </w:rPr>
      </w:pPr>
      <w:r w:rsidRPr="00F11257">
        <w:rPr>
          <w:rFonts w:eastAsia="SimSun"/>
          <w:b/>
        </w:rPr>
        <w:t xml:space="preserve">An RB allocation belonging to table 6.2.2.3-1 is a Region 1 inner RB allocation if </w:t>
      </w:r>
    </w:p>
    <w:p w14:paraId="5F9E8192" w14:textId="77777777" w:rsidR="000E4A17" w:rsidRPr="00F11257" w:rsidRDefault="000E4A17" w:rsidP="000E4A17">
      <w:pPr>
        <w:pStyle w:val="EQ"/>
        <w:jc w:val="center"/>
        <w:rPr>
          <w:b/>
        </w:rPr>
      </w:pPr>
      <w:r w:rsidRPr="00F11257">
        <w:rPr>
          <w:b/>
        </w:rPr>
        <w:t>RB</w:t>
      </w:r>
      <w:r w:rsidRPr="00F11257">
        <w:rPr>
          <w:b/>
          <w:vertAlign w:val="subscript"/>
        </w:rPr>
        <w:t xml:space="preserve">Start,Low  </w:t>
      </w:r>
      <w:r w:rsidRPr="00F11257">
        <w:rPr>
          <w:b/>
        </w:rPr>
        <w:t>≤  RB</w:t>
      </w:r>
      <w:r w:rsidRPr="00F11257">
        <w:rPr>
          <w:b/>
          <w:vertAlign w:val="subscript"/>
        </w:rPr>
        <w:t xml:space="preserve">Start  </w:t>
      </w:r>
      <w:r w:rsidRPr="00F11257">
        <w:rPr>
          <w:b/>
        </w:rPr>
        <w:t>≤  RB</w:t>
      </w:r>
      <w:r w:rsidRPr="00F11257">
        <w:rPr>
          <w:b/>
          <w:vertAlign w:val="subscript"/>
        </w:rPr>
        <w:t>Start,High</w:t>
      </w:r>
      <w:r w:rsidRPr="00F11257">
        <w:rPr>
          <w:b/>
        </w:rPr>
        <w:t>,</w:t>
      </w:r>
      <w:r w:rsidRPr="00F11257">
        <w:rPr>
          <w:b/>
          <w:vertAlign w:val="subscript"/>
        </w:rPr>
        <w:t xml:space="preserve"> </w:t>
      </w:r>
      <w:r w:rsidRPr="00F11257">
        <w:rPr>
          <w:b/>
        </w:rPr>
        <w:t>and</w:t>
      </w:r>
    </w:p>
    <w:p w14:paraId="5EDD9FBE" w14:textId="63E8E06F" w:rsidR="000E4A17" w:rsidRPr="00F11257" w:rsidRDefault="000E4A17" w:rsidP="000E4A17">
      <w:pPr>
        <w:pStyle w:val="EQ"/>
        <w:jc w:val="center"/>
        <w:rPr>
          <w:b/>
        </w:rPr>
      </w:pPr>
      <w:r w:rsidRPr="00F11257">
        <w:rPr>
          <w:b/>
        </w:rPr>
        <w:t>L</w:t>
      </w:r>
      <w:r w:rsidRPr="00F11257">
        <w:rPr>
          <w:b/>
          <w:vertAlign w:val="subscript"/>
        </w:rPr>
        <w:t xml:space="preserve">CRB  </w:t>
      </w:r>
      <w:r w:rsidRPr="00F11257">
        <w:rPr>
          <w:b/>
        </w:rPr>
        <w:t>≤  ceil(N</w:t>
      </w:r>
      <w:r w:rsidRPr="00F11257">
        <w:rPr>
          <w:b/>
          <w:vertAlign w:val="subscript"/>
        </w:rPr>
        <w:t>RB</w:t>
      </w:r>
      <w:r w:rsidRPr="00F11257">
        <w:rPr>
          <w:b/>
        </w:rPr>
        <w:t>/3)</w:t>
      </w:r>
    </w:p>
    <w:p w14:paraId="30DE1DEB" w14:textId="77777777" w:rsidR="000E4A17" w:rsidRPr="00F11257" w:rsidRDefault="000E4A17" w:rsidP="000E4A17">
      <w:pPr>
        <w:rPr>
          <w:b/>
        </w:rPr>
      </w:pPr>
      <w:r w:rsidRPr="00F11257">
        <w:rPr>
          <w:b/>
        </w:rPr>
        <w:t>where ceil(x) is the smallest integer greater than or equal to x.</w:t>
      </w:r>
    </w:p>
    <w:p w14:paraId="2C166A7B" w14:textId="1DDA5528" w:rsidR="000E4A17" w:rsidRPr="00F11257" w:rsidRDefault="000E4A17" w:rsidP="000E4A17">
      <w:pPr>
        <w:rPr>
          <w:rFonts w:eastAsia="SimSun"/>
          <w:b/>
        </w:rPr>
      </w:pPr>
      <w:r w:rsidRPr="00F11257">
        <w:rPr>
          <w:rFonts w:eastAsia="SimSun"/>
          <w:b/>
        </w:rPr>
        <w:t>An RB allocation is an Edge allocation if it is NOT a Region 1 inner allocation</w:t>
      </w:r>
      <w:r w:rsidR="00D30129">
        <w:rPr>
          <w:rFonts w:eastAsia="SimSun"/>
          <w:b/>
        </w:rPr>
        <w:t>.</w:t>
      </w:r>
    </w:p>
    <w:p w14:paraId="12CE9BEA" w14:textId="77777777" w:rsidR="00A645E7" w:rsidRDefault="00A645E7" w:rsidP="00D269D7">
      <w:pPr>
        <w:pStyle w:val="Heading1"/>
      </w:pPr>
      <w:r>
        <w:t>Conclusions</w:t>
      </w:r>
    </w:p>
    <w:p w14:paraId="35371336" w14:textId="7E165845" w:rsidR="00050B62" w:rsidRDefault="006418C7" w:rsidP="00031F88">
      <w:pPr>
        <w:spacing w:after="0"/>
        <w:jc w:val="both"/>
      </w:pPr>
      <w:r>
        <w:t>In this contribution</w:t>
      </w:r>
      <w:r w:rsidR="00780D0A">
        <w:t>,</w:t>
      </w:r>
      <w:r w:rsidR="00596F26">
        <w:t xml:space="preserve"> </w:t>
      </w:r>
      <w:r w:rsidR="005D0F9B">
        <w:t xml:space="preserve">we </w:t>
      </w:r>
      <w:r w:rsidR="00B8727E">
        <w:t>propose to extend the Inner RB Allocations Region 1 based on measurements in [1] and simulation data in [2] for PC3 UE operating in CBW &lt;= 200</w:t>
      </w:r>
      <w:r w:rsidR="00780D0A">
        <w:t xml:space="preserve"> </w:t>
      </w:r>
      <w:proofErr w:type="spellStart"/>
      <w:r w:rsidR="00B8727E">
        <w:t>MHz.</w:t>
      </w:r>
      <w:proofErr w:type="spellEnd"/>
      <w:r w:rsidR="00B8727E">
        <w:t xml:space="preserve"> Changes for 400</w:t>
      </w:r>
      <w:r w:rsidR="00780D0A">
        <w:t xml:space="preserve"> </w:t>
      </w:r>
      <w:r w:rsidR="00B8727E">
        <w:t>MHz CBW are FFS.</w:t>
      </w:r>
    </w:p>
    <w:p w14:paraId="63222EF7" w14:textId="77777777" w:rsidR="00B8727E" w:rsidRDefault="00B8727E" w:rsidP="00B8727E">
      <w:pPr>
        <w:tabs>
          <w:tab w:val="left" w:pos="5103"/>
        </w:tabs>
        <w:spacing w:after="0"/>
        <w:jc w:val="both"/>
        <w:rPr>
          <w:b/>
        </w:rPr>
      </w:pPr>
    </w:p>
    <w:p w14:paraId="30E4B057" w14:textId="77777777" w:rsidR="00D30129" w:rsidRPr="00F11257" w:rsidRDefault="00D30129" w:rsidP="00D30129">
      <w:pPr>
        <w:tabs>
          <w:tab w:val="left" w:pos="5103"/>
        </w:tabs>
        <w:spacing w:after="0"/>
        <w:jc w:val="both"/>
        <w:rPr>
          <w:b/>
        </w:rPr>
      </w:pPr>
      <w:r>
        <w:rPr>
          <w:b/>
        </w:rPr>
        <w:t>Proposal 1:</w:t>
      </w:r>
      <w:r w:rsidRPr="001E3299">
        <w:rPr>
          <w:b/>
        </w:rPr>
        <w:t xml:space="preserve"> </w:t>
      </w:r>
    </w:p>
    <w:p w14:paraId="504DB626" w14:textId="1060976B" w:rsidR="00D30129" w:rsidRPr="00F11257" w:rsidRDefault="00D30129" w:rsidP="00D30129">
      <w:pPr>
        <w:tabs>
          <w:tab w:val="left" w:pos="5103"/>
        </w:tabs>
        <w:spacing w:after="0"/>
        <w:jc w:val="both"/>
        <w:rPr>
          <w:b/>
        </w:rPr>
      </w:pPr>
      <w:r w:rsidRPr="00F11257">
        <w:rPr>
          <w:b/>
        </w:rPr>
        <w:t>Approve the following changes to equations which specify the valid RB allocation ranges for RB allocations fulfilling Inner RB Allocations Region 1 for PC3 UEs in CBW &lt;= 200</w:t>
      </w:r>
      <w:r w:rsidR="00780D0A">
        <w:rPr>
          <w:b/>
        </w:rPr>
        <w:t xml:space="preserve"> </w:t>
      </w:r>
      <w:proofErr w:type="spellStart"/>
      <w:r w:rsidRPr="00F11257">
        <w:rPr>
          <w:b/>
        </w:rPr>
        <w:t>MHz.</w:t>
      </w:r>
      <w:proofErr w:type="spellEnd"/>
      <w:r w:rsidRPr="00F11257">
        <w:rPr>
          <w:b/>
        </w:rPr>
        <w:t xml:space="preserve"> The changes for 400</w:t>
      </w:r>
      <w:r w:rsidR="00780D0A">
        <w:rPr>
          <w:b/>
        </w:rPr>
        <w:t xml:space="preserve"> </w:t>
      </w:r>
      <w:r w:rsidRPr="00F11257">
        <w:rPr>
          <w:b/>
        </w:rPr>
        <w:t>MHz are FFS.</w:t>
      </w:r>
    </w:p>
    <w:p w14:paraId="5051A0A7" w14:textId="77777777" w:rsidR="00D30129" w:rsidRPr="00F11257" w:rsidRDefault="00D30129" w:rsidP="00D30129">
      <w:pPr>
        <w:rPr>
          <w:b/>
        </w:rPr>
      </w:pPr>
      <w:r w:rsidRPr="00F11257">
        <w:rPr>
          <w:b/>
        </w:rPr>
        <w:t xml:space="preserve">For power class 3, MPR for contiguous allocations is defined as: </w:t>
      </w:r>
    </w:p>
    <w:p w14:paraId="668D0021" w14:textId="77777777" w:rsidR="00D30129" w:rsidRPr="00F11257" w:rsidRDefault="00D30129" w:rsidP="00D30129">
      <w:pPr>
        <w:pStyle w:val="EQ"/>
        <w:jc w:val="center"/>
        <w:rPr>
          <w:b/>
        </w:rPr>
      </w:pPr>
      <w:r w:rsidRPr="00F11257">
        <w:rPr>
          <w:b/>
        </w:rPr>
        <w:t>MPR = max(MPR</w:t>
      </w:r>
      <w:r w:rsidRPr="00F11257">
        <w:rPr>
          <w:b/>
          <w:vertAlign w:val="subscript"/>
        </w:rPr>
        <w:t>WT</w:t>
      </w:r>
      <w:r w:rsidRPr="00F11257">
        <w:rPr>
          <w:b/>
        </w:rPr>
        <w:t>, MPR</w:t>
      </w:r>
      <w:r w:rsidRPr="00F11257">
        <w:rPr>
          <w:b/>
          <w:vertAlign w:val="subscript"/>
        </w:rPr>
        <w:t>narrow</w:t>
      </w:r>
      <w:r w:rsidRPr="00F11257">
        <w:rPr>
          <w:b/>
        </w:rPr>
        <w:t>)</w:t>
      </w:r>
    </w:p>
    <w:p w14:paraId="4A4AED8B" w14:textId="77777777" w:rsidR="00D30129" w:rsidRPr="00F11257" w:rsidRDefault="00D30129" w:rsidP="00D30129">
      <w:pPr>
        <w:rPr>
          <w:b/>
        </w:rPr>
      </w:pPr>
      <w:r w:rsidRPr="00F11257">
        <w:rPr>
          <w:b/>
        </w:rPr>
        <w:t>Where,</w:t>
      </w:r>
    </w:p>
    <w:p w14:paraId="3787DB7E" w14:textId="77777777" w:rsidR="00D30129" w:rsidRPr="00F11257" w:rsidRDefault="00D30129" w:rsidP="00D30129">
      <w:pPr>
        <w:pStyle w:val="B1"/>
        <w:rPr>
          <w:b/>
        </w:rPr>
      </w:pPr>
      <w:proofErr w:type="spellStart"/>
      <w:r w:rsidRPr="00F11257">
        <w:rPr>
          <w:rFonts w:hint="eastAsia"/>
          <w:b/>
        </w:rPr>
        <w:t>MPR</w:t>
      </w:r>
      <w:r w:rsidRPr="00F11257">
        <w:rPr>
          <w:b/>
          <w:vertAlign w:val="subscript"/>
        </w:rPr>
        <w:t>narrow</w:t>
      </w:r>
      <w:proofErr w:type="spellEnd"/>
      <w:r w:rsidRPr="00F11257">
        <w:rPr>
          <w:rFonts w:hint="eastAsia"/>
          <w:b/>
        </w:rPr>
        <w:t xml:space="preserve"> = 2.5 dB, when the allocated RB size is less than or equal to 1.44</w:t>
      </w:r>
      <w:r w:rsidRPr="00F11257">
        <w:rPr>
          <w:b/>
        </w:rPr>
        <w:t xml:space="preserve"> </w:t>
      </w:r>
      <w:r w:rsidRPr="00F11257">
        <w:rPr>
          <w:rFonts w:hint="eastAsia"/>
          <w:b/>
        </w:rPr>
        <w:t>MHz, and 0</w:t>
      </w:r>
      <w:r w:rsidRPr="00F11257">
        <w:rPr>
          <w:b/>
        </w:rPr>
        <w:t xml:space="preserve"> </w:t>
      </w:r>
      <w:r w:rsidRPr="00F11257">
        <w:rPr>
          <w:rFonts w:hint="eastAsia"/>
          <w:b/>
        </w:rPr>
        <w:t>≤</w:t>
      </w:r>
      <w:r w:rsidRPr="00F11257">
        <w:rPr>
          <w:rFonts w:hint="eastAsia"/>
          <w:b/>
        </w:rPr>
        <w:t xml:space="preserve"> </w:t>
      </w:r>
      <w:proofErr w:type="spellStart"/>
      <w:r w:rsidRPr="00F11257">
        <w:rPr>
          <w:rFonts w:hint="eastAsia"/>
          <w:b/>
        </w:rPr>
        <w:t>RB</w:t>
      </w:r>
      <w:r w:rsidRPr="00F11257">
        <w:rPr>
          <w:b/>
          <w:vertAlign w:val="subscript"/>
        </w:rPr>
        <w:t>start</w:t>
      </w:r>
      <w:proofErr w:type="spellEnd"/>
      <w:r w:rsidRPr="00F11257">
        <w:rPr>
          <w:b/>
          <w:vertAlign w:val="subscript"/>
        </w:rPr>
        <w:t xml:space="preserve"> </w:t>
      </w:r>
      <w:r w:rsidRPr="00F11257">
        <w:rPr>
          <w:rFonts w:hint="eastAsia"/>
          <w:b/>
        </w:rPr>
        <w:t xml:space="preserve">&lt; </w:t>
      </w:r>
      <w:proofErr w:type="gramStart"/>
      <w:r w:rsidRPr="00F11257">
        <w:rPr>
          <w:rFonts w:hint="eastAsia"/>
          <w:b/>
        </w:rPr>
        <w:t>Ceil(</w:t>
      </w:r>
      <w:proofErr w:type="gramEnd"/>
      <w:r w:rsidRPr="00F11257">
        <w:rPr>
          <w:rFonts w:hint="eastAsia"/>
          <w:b/>
        </w:rPr>
        <w:t>1/3 N</w:t>
      </w:r>
      <w:r w:rsidRPr="00F11257">
        <w:rPr>
          <w:b/>
          <w:vertAlign w:val="subscript"/>
        </w:rPr>
        <w:t>RB</w:t>
      </w:r>
      <w:r w:rsidRPr="00F11257">
        <w:rPr>
          <w:rFonts w:hint="eastAsia"/>
          <w:b/>
        </w:rPr>
        <w:t>) or Ceil(2/3N</w:t>
      </w:r>
      <w:r w:rsidRPr="00F11257">
        <w:rPr>
          <w:b/>
          <w:vertAlign w:val="subscript"/>
        </w:rPr>
        <w:t>RB</w:t>
      </w:r>
      <w:r w:rsidRPr="00F11257">
        <w:rPr>
          <w:rFonts w:hint="eastAsia"/>
          <w:b/>
        </w:rPr>
        <w:t>)</w:t>
      </w:r>
      <w:r w:rsidRPr="00F11257">
        <w:rPr>
          <w:b/>
        </w:rPr>
        <w:t xml:space="preserve"> </w:t>
      </w:r>
      <w:r w:rsidRPr="00F11257">
        <w:rPr>
          <w:rFonts w:hint="eastAsia"/>
          <w:b/>
        </w:rPr>
        <w:t>≤</w:t>
      </w:r>
      <w:r w:rsidRPr="00F11257">
        <w:rPr>
          <w:rFonts w:hint="eastAsia"/>
          <w:b/>
        </w:rPr>
        <w:t xml:space="preserve"> </w:t>
      </w:r>
      <w:proofErr w:type="spellStart"/>
      <w:r w:rsidRPr="00F11257">
        <w:rPr>
          <w:rFonts w:hint="eastAsia"/>
          <w:b/>
        </w:rPr>
        <w:t>RB</w:t>
      </w:r>
      <w:r w:rsidRPr="00F11257">
        <w:rPr>
          <w:b/>
          <w:vertAlign w:val="subscript"/>
        </w:rPr>
        <w:t>start</w:t>
      </w:r>
      <w:proofErr w:type="spellEnd"/>
      <w:r w:rsidRPr="00F11257">
        <w:rPr>
          <w:b/>
        </w:rPr>
        <w:t xml:space="preserve"> </w:t>
      </w:r>
      <w:r w:rsidRPr="00F11257">
        <w:rPr>
          <w:rFonts w:hint="eastAsia"/>
          <w:b/>
        </w:rPr>
        <w:t>≤</w:t>
      </w:r>
      <w:r w:rsidRPr="00F11257">
        <w:rPr>
          <w:rFonts w:hint="eastAsia"/>
          <w:b/>
        </w:rPr>
        <w:t xml:space="preserve"> N</w:t>
      </w:r>
      <w:r w:rsidRPr="00F11257">
        <w:rPr>
          <w:b/>
          <w:vertAlign w:val="subscript"/>
        </w:rPr>
        <w:t>RB</w:t>
      </w:r>
      <w:r w:rsidRPr="00F11257">
        <w:rPr>
          <w:rFonts w:hint="eastAsia"/>
          <w:b/>
        </w:rPr>
        <w:t>-L</w:t>
      </w:r>
      <w:r w:rsidRPr="00F11257">
        <w:rPr>
          <w:b/>
          <w:vertAlign w:val="subscript"/>
        </w:rPr>
        <w:t>CRB</w:t>
      </w:r>
      <w:r w:rsidRPr="00F11257">
        <w:rPr>
          <w:rFonts w:eastAsia="Malgun Gothic"/>
          <w:b/>
        </w:rPr>
        <w:t>, where N</w:t>
      </w:r>
      <w:r w:rsidRPr="00F11257">
        <w:rPr>
          <w:rFonts w:eastAsia="Malgun Gothic"/>
          <w:b/>
          <w:vertAlign w:val="subscript"/>
        </w:rPr>
        <w:t>RB</w:t>
      </w:r>
      <w:r w:rsidRPr="00F11257">
        <w:rPr>
          <w:rFonts w:eastAsia="Malgun Gothic"/>
          <w:b/>
        </w:rPr>
        <w:t xml:space="preserve"> is the maximum transmission bandwidth configuration defined in Table 5.3.2-1.</w:t>
      </w:r>
    </w:p>
    <w:p w14:paraId="71FC3D1F" w14:textId="77777777" w:rsidR="00D30129" w:rsidRPr="00F11257" w:rsidRDefault="00D30129" w:rsidP="00D30129">
      <w:pPr>
        <w:pStyle w:val="B1"/>
        <w:rPr>
          <w:b/>
        </w:rPr>
      </w:pPr>
      <w:r w:rsidRPr="00F11257">
        <w:rPr>
          <w:b/>
        </w:rPr>
        <w:t>MPR</w:t>
      </w:r>
      <w:r w:rsidRPr="00F11257">
        <w:rPr>
          <w:b/>
          <w:vertAlign w:val="subscript"/>
        </w:rPr>
        <w:t>WT</w:t>
      </w:r>
      <w:r w:rsidRPr="00F11257">
        <w:rPr>
          <w:b/>
        </w:rPr>
        <w:t xml:space="preserve"> is the maximum power reduction due to modulation orders, transmission bandwidth configurations listed in Table 5.3.2-1, and waveform types. MPR</w:t>
      </w:r>
      <w:r w:rsidRPr="00F11257">
        <w:rPr>
          <w:b/>
          <w:vertAlign w:val="subscript"/>
        </w:rPr>
        <w:t>WT</w:t>
      </w:r>
      <w:r w:rsidRPr="00F11257">
        <w:rPr>
          <w:b/>
        </w:rPr>
        <w:t xml:space="preserve"> is defined in Table 6.2.2.3-1</w:t>
      </w:r>
      <w:r w:rsidRPr="00F11257">
        <w:rPr>
          <w:rFonts w:eastAsia="Malgun Gothic"/>
          <w:b/>
        </w:rPr>
        <w:t xml:space="preserve"> </w:t>
      </w:r>
      <w:r w:rsidRPr="00F11257">
        <w:rPr>
          <w:b/>
        </w:rPr>
        <w:t>and Table 6.2.2.3-2.</w:t>
      </w:r>
    </w:p>
    <w:p w14:paraId="74C1D1FC" w14:textId="77777777" w:rsidR="00D30129" w:rsidRPr="00F11257" w:rsidRDefault="00D30129" w:rsidP="00D30129">
      <w:pPr>
        <w:rPr>
          <w:rFonts w:eastAsia="SimSun"/>
          <w:b/>
        </w:rPr>
      </w:pPr>
      <w:r w:rsidRPr="00F11257">
        <w:rPr>
          <w:rFonts w:eastAsia="Malgun Gothic"/>
          <w:b/>
        </w:rPr>
        <w:t>Where</w:t>
      </w:r>
      <w:r w:rsidRPr="00F11257">
        <w:rPr>
          <w:rFonts w:eastAsia="Yu Mincho"/>
          <w:b/>
        </w:rPr>
        <w:t xml:space="preserve"> the </w:t>
      </w:r>
      <w:r w:rsidRPr="00F11257">
        <w:rPr>
          <w:rFonts w:eastAsia="Malgun Gothic"/>
          <w:b/>
        </w:rPr>
        <w:t xml:space="preserve">following parameters are defined to specify valid RB allocation ranges for </w:t>
      </w:r>
      <w:r w:rsidRPr="00F11257">
        <w:rPr>
          <w:rFonts w:eastAsia="SimSun"/>
          <w:b/>
        </w:rPr>
        <w:t xml:space="preserve">RB allocations in </w:t>
      </w:r>
      <w:r w:rsidRPr="00F11257">
        <w:rPr>
          <w:rFonts w:eastAsia="Malgun Gothic"/>
          <w:b/>
        </w:rPr>
        <w:t>Tables 6.2.2.3-1 and 6.2.2.3-2</w:t>
      </w:r>
      <w:r w:rsidRPr="00F11257">
        <w:rPr>
          <w:rFonts w:eastAsia="SimSun"/>
          <w:b/>
        </w:rPr>
        <w:t>:</w:t>
      </w:r>
    </w:p>
    <w:p w14:paraId="4AA196F9" w14:textId="77777777" w:rsidR="00D30129" w:rsidRPr="00F11257" w:rsidRDefault="00D30129" w:rsidP="00D30129">
      <w:pPr>
        <w:pStyle w:val="EQ"/>
        <w:jc w:val="center"/>
        <w:rPr>
          <w:b/>
        </w:rPr>
      </w:pPr>
      <w:r w:rsidRPr="00F11257">
        <w:rPr>
          <w:b/>
        </w:rPr>
        <w:t>RB</w:t>
      </w:r>
      <w:r w:rsidRPr="00F11257">
        <w:rPr>
          <w:b/>
          <w:vertAlign w:val="subscript"/>
        </w:rPr>
        <w:t>Start,Low</w:t>
      </w:r>
      <w:r w:rsidRPr="00F11257">
        <w:rPr>
          <w:b/>
        </w:rPr>
        <w:t xml:space="preserve"> = max(1, L</w:t>
      </w:r>
      <w:r w:rsidRPr="00F11257">
        <w:rPr>
          <w:b/>
          <w:vertAlign w:val="subscript"/>
        </w:rPr>
        <w:t>CRB</w:t>
      </w:r>
      <w:r w:rsidRPr="00F11257">
        <w:rPr>
          <w:b/>
        </w:rPr>
        <w:t>)</w:t>
      </w:r>
    </w:p>
    <w:p w14:paraId="3429B3FC" w14:textId="77777777" w:rsidR="00D30129" w:rsidRPr="00F11257" w:rsidRDefault="00D30129" w:rsidP="00D30129">
      <w:pPr>
        <w:rPr>
          <w:b/>
        </w:rPr>
      </w:pPr>
      <w:r w:rsidRPr="00F11257">
        <w:rPr>
          <w:b/>
        </w:rPr>
        <w:t xml:space="preserve">where </w:t>
      </w:r>
      <w:proofErr w:type="gramStart"/>
      <w:r w:rsidRPr="00F11257">
        <w:rPr>
          <w:b/>
        </w:rPr>
        <w:t>max(</w:t>
      </w:r>
      <w:proofErr w:type="gramEnd"/>
      <w:r w:rsidRPr="00F11257">
        <w:rPr>
          <w:b/>
        </w:rPr>
        <w:t>) indicates the largest value of all arguments.</w:t>
      </w:r>
    </w:p>
    <w:p w14:paraId="3EEAA91B" w14:textId="77777777" w:rsidR="00D30129" w:rsidRPr="00F11257" w:rsidRDefault="00D30129" w:rsidP="00D30129">
      <w:pPr>
        <w:pStyle w:val="EQ"/>
        <w:jc w:val="center"/>
        <w:rPr>
          <w:b/>
        </w:rPr>
      </w:pPr>
      <w:r w:rsidRPr="00F11257">
        <w:rPr>
          <w:b/>
        </w:rPr>
        <w:t>RB</w:t>
      </w:r>
      <w:r w:rsidRPr="00F11257">
        <w:rPr>
          <w:b/>
          <w:vertAlign w:val="subscript"/>
        </w:rPr>
        <w:t>Start,High</w:t>
      </w:r>
      <w:r w:rsidRPr="00F11257">
        <w:rPr>
          <w:b/>
        </w:rPr>
        <w:t xml:space="preserve"> = N</w:t>
      </w:r>
      <w:r w:rsidRPr="00F11257">
        <w:rPr>
          <w:b/>
          <w:vertAlign w:val="subscript"/>
        </w:rPr>
        <w:t>RB</w:t>
      </w:r>
      <w:r w:rsidRPr="00F11257">
        <w:rPr>
          <w:b/>
        </w:rPr>
        <w:t xml:space="preserve"> – RB</w:t>
      </w:r>
      <w:r w:rsidRPr="00F11257">
        <w:rPr>
          <w:b/>
          <w:vertAlign w:val="subscript"/>
        </w:rPr>
        <w:t>Start,Low</w:t>
      </w:r>
      <w:r w:rsidRPr="00F11257">
        <w:rPr>
          <w:b/>
        </w:rPr>
        <w:t xml:space="preserve"> – L</w:t>
      </w:r>
      <w:r w:rsidRPr="00F11257">
        <w:rPr>
          <w:b/>
          <w:vertAlign w:val="subscript"/>
        </w:rPr>
        <w:t>CRB</w:t>
      </w:r>
    </w:p>
    <w:p w14:paraId="4B66537D" w14:textId="77777777" w:rsidR="00D30129" w:rsidRPr="00F11257" w:rsidRDefault="00D30129" w:rsidP="00D30129">
      <w:pPr>
        <w:rPr>
          <w:rFonts w:eastAsia="SimSun"/>
          <w:b/>
        </w:rPr>
      </w:pPr>
      <w:r w:rsidRPr="00F11257">
        <w:rPr>
          <w:rFonts w:eastAsia="SimSun"/>
          <w:b/>
        </w:rPr>
        <w:lastRenderedPageBreak/>
        <w:t xml:space="preserve">An RB allocation belonging to table 6.2.2.3-1 is a Region 1 inner RB allocation if </w:t>
      </w:r>
    </w:p>
    <w:p w14:paraId="2F9DC4B8" w14:textId="77777777" w:rsidR="00D30129" w:rsidRPr="00F11257" w:rsidRDefault="00D30129" w:rsidP="00D30129">
      <w:pPr>
        <w:pStyle w:val="EQ"/>
        <w:jc w:val="center"/>
        <w:rPr>
          <w:b/>
        </w:rPr>
      </w:pPr>
      <w:r w:rsidRPr="00F11257">
        <w:rPr>
          <w:b/>
        </w:rPr>
        <w:t>RB</w:t>
      </w:r>
      <w:r w:rsidRPr="00F11257">
        <w:rPr>
          <w:b/>
          <w:vertAlign w:val="subscript"/>
        </w:rPr>
        <w:t xml:space="preserve">Start,Low  </w:t>
      </w:r>
      <w:r w:rsidRPr="00F11257">
        <w:rPr>
          <w:b/>
        </w:rPr>
        <w:t>≤  RB</w:t>
      </w:r>
      <w:r w:rsidRPr="00F11257">
        <w:rPr>
          <w:b/>
          <w:vertAlign w:val="subscript"/>
        </w:rPr>
        <w:t xml:space="preserve">Start  </w:t>
      </w:r>
      <w:r w:rsidRPr="00F11257">
        <w:rPr>
          <w:b/>
        </w:rPr>
        <w:t>≤  RB</w:t>
      </w:r>
      <w:r w:rsidRPr="00F11257">
        <w:rPr>
          <w:b/>
          <w:vertAlign w:val="subscript"/>
        </w:rPr>
        <w:t>Start,High</w:t>
      </w:r>
      <w:r w:rsidRPr="00F11257">
        <w:rPr>
          <w:b/>
        </w:rPr>
        <w:t>,</w:t>
      </w:r>
      <w:r w:rsidRPr="00F11257">
        <w:rPr>
          <w:b/>
          <w:vertAlign w:val="subscript"/>
        </w:rPr>
        <w:t xml:space="preserve"> </w:t>
      </w:r>
      <w:r w:rsidRPr="00F11257">
        <w:rPr>
          <w:b/>
        </w:rPr>
        <w:t>and</w:t>
      </w:r>
    </w:p>
    <w:p w14:paraId="5290864F" w14:textId="77777777" w:rsidR="00D30129" w:rsidRPr="00F11257" w:rsidRDefault="00D30129" w:rsidP="00D30129">
      <w:pPr>
        <w:pStyle w:val="EQ"/>
        <w:jc w:val="center"/>
        <w:rPr>
          <w:b/>
        </w:rPr>
      </w:pPr>
      <w:r w:rsidRPr="00F11257">
        <w:rPr>
          <w:b/>
        </w:rPr>
        <w:t>L</w:t>
      </w:r>
      <w:r w:rsidRPr="00F11257">
        <w:rPr>
          <w:b/>
          <w:vertAlign w:val="subscript"/>
        </w:rPr>
        <w:t xml:space="preserve">CRB  </w:t>
      </w:r>
      <w:r w:rsidRPr="00F11257">
        <w:rPr>
          <w:b/>
        </w:rPr>
        <w:t>≤  ceil(N</w:t>
      </w:r>
      <w:r w:rsidRPr="00F11257">
        <w:rPr>
          <w:b/>
          <w:vertAlign w:val="subscript"/>
        </w:rPr>
        <w:t>RB</w:t>
      </w:r>
      <w:r w:rsidRPr="00F11257">
        <w:rPr>
          <w:b/>
        </w:rPr>
        <w:t>/3)</w:t>
      </w:r>
    </w:p>
    <w:p w14:paraId="0D7D58C6" w14:textId="77777777" w:rsidR="00D30129" w:rsidRPr="00F11257" w:rsidRDefault="00D30129" w:rsidP="00D30129">
      <w:pPr>
        <w:rPr>
          <w:b/>
        </w:rPr>
      </w:pPr>
      <w:r w:rsidRPr="00F11257">
        <w:rPr>
          <w:b/>
        </w:rPr>
        <w:t>where ceil(x) is the smallest integer greater than or equal to x.</w:t>
      </w:r>
    </w:p>
    <w:p w14:paraId="3ACAF744" w14:textId="6D2E21FA" w:rsidR="00263CE6" w:rsidRPr="00DE483E" w:rsidRDefault="00D30129" w:rsidP="00D30129">
      <w:pPr>
        <w:spacing w:after="0"/>
        <w:jc w:val="both"/>
        <w:rPr>
          <w:b/>
        </w:rPr>
      </w:pPr>
      <w:r w:rsidRPr="00F11257">
        <w:rPr>
          <w:rFonts w:eastAsia="SimSun"/>
          <w:b/>
        </w:rPr>
        <w:t>An RB allocation is an Edge allocation if it is NOT a Region 1 inner allocation</w:t>
      </w:r>
      <w:r>
        <w:rPr>
          <w:rFonts w:eastAsia="SimSun"/>
          <w:b/>
        </w:rPr>
        <w:t>.</w:t>
      </w:r>
    </w:p>
    <w:p w14:paraId="03D6921F" w14:textId="77777777" w:rsidR="00F10F97" w:rsidRDefault="007321E3" w:rsidP="00C8525F">
      <w:pPr>
        <w:pStyle w:val="Heading1"/>
        <w:numPr>
          <w:ilvl w:val="0"/>
          <w:numId w:val="0"/>
        </w:numPr>
        <w:jc w:val="both"/>
      </w:pPr>
      <w:r>
        <w:t>R</w:t>
      </w:r>
      <w:r w:rsidR="00F10F97">
        <w:t>eferences</w:t>
      </w:r>
    </w:p>
    <w:p w14:paraId="776BEDCF" w14:textId="152B0DD6" w:rsidR="006C43F2" w:rsidRDefault="004F0970" w:rsidP="00DE483E">
      <w:r>
        <w:t>[1]</w:t>
      </w:r>
      <w:r w:rsidRPr="00ED2F28">
        <w:tab/>
      </w:r>
      <w:bookmarkStart w:id="3" w:name="_Ref535326490"/>
      <w:r w:rsidR="00D96BA3" w:rsidRPr="00D96BA3">
        <w:t>R4-1907163</w:t>
      </w:r>
      <w:r w:rsidR="006C43F2" w:rsidRPr="003605CC">
        <w:t>,</w:t>
      </w:r>
      <w:r w:rsidR="006C43F2">
        <w:t xml:space="preserve"> </w:t>
      </w:r>
      <w:r w:rsidR="00D96BA3" w:rsidRPr="00D96BA3">
        <w:t>FR2 PC3 MPR PA Measurements for DFT-S-OFDM and CP-OFDM for Rel-16</w:t>
      </w:r>
      <w:r w:rsidR="006C43F2" w:rsidRPr="003B470D">
        <w:t xml:space="preserve">, </w:t>
      </w:r>
      <w:bookmarkEnd w:id="3"/>
      <w:r w:rsidR="00D96BA3" w:rsidRPr="00D96BA3">
        <w:t>Skyworks Solutions, Inc.</w:t>
      </w:r>
    </w:p>
    <w:p w14:paraId="0A1DE533" w14:textId="4055E750" w:rsidR="006C43F2" w:rsidRDefault="006C43F2" w:rsidP="006C43F2">
      <w:pPr>
        <w:jc w:val="both"/>
      </w:pPr>
      <w:r>
        <w:t xml:space="preserve">[2] </w:t>
      </w:r>
      <w:r w:rsidR="00D96BA3">
        <w:t xml:space="preserve">R4-1903524, </w:t>
      </w:r>
      <w:r w:rsidR="00D96BA3" w:rsidRPr="00D96BA3">
        <w:t>FR2 MPR due to OBW</w:t>
      </w:r>
      <w:r w:rsidR="00D96BA3">
        <w:t xml:space="preserve">, </w:t>
      </w:r>
      <w:r w:rsidR="00D96BA3">
        <w:rPr>
          <w:rFonts w:eastAsia="SimSun"/>
          <w:lang w:eastAsia="zh-CN"/>
        </w:rPr>
        <w:t>Nokia, Nokia Shanghai Bell.</w:t>
      </w:r>
    </w:p>
    <w:p w14:paraId="46D08102" w14:textId="77777777" w:rsidR="00D96BA3" w:rsidRDefault="006C43F2" w:rsidP="00D96BA3">
      <w:r>
        <w:t>[3]</w:t>
      </w:r>
      <w:r w:rsidRPr="006C43F2">
        <w:t xml:space="preserve"> </w:t>
      </w:r>
      <w:r w:rsidR="00D96BA3" w:rsidRPr="00D96BA3">
        <w:t>R4-1907161</w:t>
      </w:r>
      <w:r w:rsidR="00D96BA3">
        <w:t xml:space="preserve">, </w:t>
      </w:r>
      <w:r w:rsidR="00D96BA3" w:rsidRPr="00D96BA3">
        <w:t xml:space="preserve">Overlapped MPRWT, </w:t>
      </w:r>
      <w:proofErr w:type="spellStart"/>
      <w:r w:rsidR="00D96BA3" w:rsidRPr="00D96BA3">
        <w:t>MPR</w:t>
      </w:r>
      <w:r w:rsidR="00D96BA3" w:rsidRPr="00D30129">
        <w:rPr>
          <w:vertAlign w:val="subscript"/>
        </w:rPr>
        <w:t>narrow</w:t>
      </w:r>
      <w:proofErr w:type="spellEnd"/>
      <w:r w:rsidR="00D96BA3" w:rsidRPr="00D96BA3">
        <w:t xml:space="preserve"> boundaries for FR2 PC3</w:t>
      </w:r>
      <w:r w:rsidR="00D96BA3">
        <w:t xml:space="preserve">, </w:t>
      </w:r>
      <w:r w:rsidR="00D96BA3" w:rsidRPr="00D96BA3">
        <w:t>Skyworks Solutions, Inc.</w:t>
      </w:r>
    </w:p>
    <w:p w14:paraId="28E510E5" w14:textId="2944E1DF" w:rsidR="006C43F2" w:rsidRPr="00D96BA3" w:rsidRDefault="006C43F2" w:rsidP="00D96BA3">
      <w:pPr>
        <w:jc w:val="both"/>
      </w:pPr>
    </w:p>
    <w:p w14:paraId="73E5428D" w14:textId="07366B0E" w:rsidR="006C43F2" w:rsidRPr="005B531A" w:rsidRDefault="006C43F2" w:rsidP="00382787">
      <w:pPr>
        <w:jc w:val="both"/>
        <w:rPr>
          <w:rFonts w:eastAsia="SimSun"/>
          <w:lang w:eastAsia="zh-CN"/>
        </w:rPr>
      </w:pPr>
    </w:p>
    <w:sectPr w:rsidR="006C43F2" w:rsidRPr="005B531A" w:rsidSect="00CC71EC">
      <w:footerReference w:type="default" r:id="rId11"/>
      <w:footnotePr>
        <w:numRestart w:val="eachSect"/>
      </w:footnotePr>
      <w:pgSz w:w="11907" w:h="16840" w:code="9"/>
      <w:pgMar w:top="1440" w:right="1440" w:bottom="1440" w:left="144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AF705" w14:textId="77777777" w:rsidR="00A566B8" w:rsidRDefault="00A566B8">
      <w:r>
        <w:separator/>
      </w:r>
    </w:p>
  </w:endnote>
  <w:endnote w:type="continuationSeparator" w:id="0">
    <w:p w14:paraId="57C4BDAD" w14:textId="77777777" w:rsidR="00A566B8" w:rsidRDefault="00A56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Yu Gothic UI"/>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0120C" w14:textId="77777777" w:rsidR="003F1D8A" w:rsidRDefault="003F1D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CC9FA" w14:textId="77777777" w:rsidR="00A566B8" w:rsidRDefault="00A566B8">
      <w:r>
        <w:separator/>
      </w:r>
    </w:p>
  </w:footnote>
  <w:footnote w:type="continuationSeparator" w:id="0">
    <w:p w14:paraId="3F9FD88B" w14:textId="77777777" w:rsidR="00A566B8" w:rsidRDefault="00A566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83DD5"/>
    <w:multiLevelType w:val="hybridMultilevel"/>
    <w:tmpl w:val="186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D2CC8"/>
    <w:multiLevelType w:val="hybridMultilevel"/>
    <w:tmpl w:val="43D6DD0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EE81C53"/>
    <w:multiLevelType w:val="hybridMultilevel"/>
    <w:tmpl w:val="8A6235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0BE7F52"/>
    <w:multiLevelType w:val="hybridMultilevel"/>
    <w:tmpl w:val="76B69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444E2C"/>
    <w:multiLevelType w:val="hybridMultilevel"/>
    <w:tmpl w:val="68ECA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4522E6"/>
    <w:multiLevelType w:val="hybridMultilevel"/>
    <w:tmpl w:val="99B4007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6F74DF"/>
    <w:multiLevelType w:val="hybridMultilevel"/>
    <w:tmpl w:val="C83C50A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0" w15:restartNumberingAfterBreak="0">
    <w:nsid w:val="2183448F"/>
    <w:multiLevelType w:val="hybridMultilevel"/>
    <w:tmpl w:val="13E4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33C4A"/>
    <w:multiLevelType w:val="hybridMultilevel"/>
    <w:tmpl w:val="4CF6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3" w15:restartNumberingAfterBreak="0">
    <w:nsid w:val="334065CE"/>
    <w:multiLevelType w:val="hybridMultilevel"/>
    <w:tmpl w:val="9906F15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7C5438C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46695C85"/>
    <w:multiLevelType w:val="hybridMultilevel"/>
    <w:tmpl w:val="682CD90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9906FA2"/>
    <w:multiLevelType w:val="hybridMultilevel"/>
    <w:tmpl w:val="C66CA9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B6644C5"/>
    <w:multiLevelType w:val="hybridMultilevel"/>
    <w:tmpl w:val="13D42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C16A7"/>
    <w:multiLevelType w:val="hybridMultilevel"/>
    <w:tmpl w:val="75560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AE0852"/>
    <w:multiLevelType w:val="hybridMultilevel"/>
    <w:tmpl w:val="A6906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8300AA"/>
    <w:multiLevelType w:val="hybridMultilevel"/>
    <w:tmpl w:val="5428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07233D"/>
    <w:multiLevelType w:val="hybridMultilevel"/>
    <w:tmpl w:val="1C7655D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8F95AAC"/>
    <w:multiLevelType w:val="hybridMultilevel"/>
    <w:tmpl w:val="9E802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13B33"/>
    <w:multiLevelType w:val="hybridMultilevel"/>
    <w:tmpl w:val="83C0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C04F83"/>
    <w:multiLevelType w:val="hybridMultilevel"/>
    <w:tmpl w:val="22883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44448D"/>
    <w:multiLevelType w:val="hybridMultilevel"/>
    <w:tmpl w:val="34A2B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32359A2"/>
    <w:multiLevelType w:val="hybridMultilevel"/>
    <w:tmpl w:val="B574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5208FA"/>
    <w:multiLevelType w:val="hybridMultilevel"/>
    <w:tmpl w:val="0B4235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8"/>
  </w:num>
  <w:num w:numId="2">
    <w:abstractNumId w:val="15"/>
  </w:num>
  <w:num w:numId="3">
    <w:abstractNumId w:val="16"/>
  </w:num>
  <w:num w:numId="4">
    <w:abstractNumId w:val="32"/>
  </w:num>
  <w:num w:numId="5">
    <w:abstractNumId w:val="12"/>
  </w:num>
  <w:num w:numId="6">
    <w:abstractNumId w:val="5"/>
  </w:num>
  <w:num w:numId="7">
    <w:abstractNumId w:val="17"/>
  </w:num>
  <w:num w:numId="8">
    <w:abstractNumId w:val="29"/>
  </w:num>
  <w:num w:numId="9">
    <w:abstractNumId w:val="20"/>
  </w:num>
  <w:num w:numId="10">
    <w:abstractNumId w:val="27"/>
  </w:num>
  <w:num w:numId="11">
    <w:abstractNumId w:val="3"/>
  </w:num>
  <w:num w:numId="12">
    <w:abstractNumId w:val="30"/>
  </w:num>
  <w:num w:numId="13">
    <w:abstractNumId w:val="25"/>
  </w:num>
  <w:num w:numId="14">
    <w:abstractNumId w:val="31"/>
  </w:num>
  <w:num w:numId="15">
    <w:abstractNumId w:val="10"/>
  </w:num>
  <w:num w:numId="16">
    <w:abstractNumId w:val="21"/>
  </w:num>
  <w:num w:numId="17">
    <w:abstractNumId w:val="0"/>
  </w:num>
  <w:num w:numId="18">
    <w:abstractNumId w:val="2"/>
  </w:num>
  <w:num w:numId="19">
    <w:abstractNumId w:val="23"/>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4"/>
  </w:num>
  <w:num w:numId="24">
    <w:abstractNumId w:val="33"/>
  </w:num>
  <w:num w:numId="25">
    <w:abstractNumId w:val="9"/>
  </w:num>
  <w:num w:numId="26">
    <w:abstractNumId w:val="19"/>
  </w:num>
  <w:num w:numId="27">
    <w:abstractNumId w:val="6"/>
  </w:num>
  <w:num w:numId="28">
    <w:abstractNumId w:val="26"/>
  </w:num>
  <w:num w:numId="29">
    <w:abstractNumId w:val="11"/>
  </w:num>
  <w:num w:numId="30">
    <w:abstractNumId w:val="18"/>
  </w:num>
  <w:num w:numId="31">
    <w:abstractNumId w:val="1"/>
  </w:num>
  <w:num w:numId="32">
    <w:abstractNumId w:val="22"/>
  </w:num>
  <w:num w:numId="33">
    <w:abstractNumId w:val="28"/>
  </w:num>
  <w:num w:numId="34">
    <w:abstractNumId w:val="14"/>
  </w:num>
  <w:num w:numId="3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CA3"/>
    <w:rsid w:val="00001AB9"/>
    <w:rsid w:val="0000437E"/>
    <w:rsid w:val="000046FC"/>
    <w:rsid w:val="00004ECB"/>
    <w:rsid w:val="000052A1"/>
    <w:rsid w:val="0000549C"/>
    <w:rsid w:val="000059BB"/>
    <w:rsid w:val="000059D0"/>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1F88"/>
    <w:rsid w:val="0003252F"/>
    <w:rsid w:val="00032561"/>
    <w:rsid w:val="000326C4"/>
    <w:rsid w:val="000326E2"/>
    <w:rsid w:val="00033398"/>
    <w:rsid w:val="00033827"/>
    <w:rsid w:val="00033AC7"/>
    <w:rsid w:val="00033DFA"/>
    <w:rsid w:val="00033F47"/>
    <w:rsid w:val="00034F28"/>
    <w:rsid w:val="0003564D"/>
    <w:rsid w:val="00035AE2"/>
    <w:rsid w:val="000361FD"/>
    <w:rsid w:val="000368DA"/>
    <w:rsid w:val="000402AB"/>
    <w:rsid w:val="000412FD"/>
    <w:rsid w:val="000413D5"/>
    <w:rsid w:val="00041AF5"/>
    <w:rsid w:val="0004270D"/>
    <w:rsid w:val="00042E11"/>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B62"/>
    <w:rsid w:val="00050DA6"/>
    <w:rsid w:val="00050DBE"/>
    <w:rsid w:val="000516D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7FF"/>
    <w:rsid w:val="000761DE"/>
    <w:rsid w:val="00076D24"/>
    <w:rsid w:val="000778A7"/>
    <w:rsid w:val="00077DCD"/>
    <w:rsid w:val="00077F33"/>
    <w:rsid w:val="00080C3A"/>
    <w:rsid w:val="00080E45"/>
    <w:rsid w:val="00081D13"/>
    <w:rsid w:val="00082230"/>
    <w:rsid w:val="0008285B"/>
    <w:rsid w:val="000834ED"/>
    <w:rsid w:val="00083DF5"/>
    <w:rsid w:val="000848C0"/>
    <w:rsid w:val="0008501B"/>
    <w:rsid w:val="00085AC1"/>
    <w:rsid w:val="00085B28"/>
    <w:rsid w:val="00085C18"/>
    <w:rsid w:val="000860C0"/>
    <w:rsid w:val="0008727B"/>
    <w:rsid w:val="0008742B"/>
    <w:rsid w:val="00087852"/>
    <w:rsid w:val="00087911"/>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6A2"/>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48F"/>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6ED"/>
    <w:rsid w:val="000D7C54"/>
    <w:rsid w:val="000D7E31"/>
    <w:rsid w:val="000D7E93"/>
    <w:rsid w:val="000E014D"/>
    <w:rsid w:val="000E0B57"/>
    <w:rsid w:val="000E1093"/>
    <w:rsid w:val="000E1177"/>
    <w:rsid w:val="000E1B40"/>
    <w:rsid w:val="000E248E"/>
    <w:rsid w:val="000E3DDF"/>
    <w:rsid w:val="000E3E80"/>
    <w:rsid w:val="000E41EC"/>
    <w:rsid w:val="000E4890"/>
    <w:rsid w:val="000E4A17"/>
    <w:rsid w:val="000E4A77"/>
    <w:rsid w:val="000E4CA3"/>
    <w:rsid w:val="000E5033"/>
    <w:rsid w:val="000E5FA4"/>
    <w:rsid w:val="000E6583"/>
    <w:rsid w:val="000E6783"/>
    <w:rsid w:val="000E692C"/>
    <w:rsid w:val="000E6C16"/>
    <w:rsid w:val="000E71E1"/>
    <w:rsid w:val="000E79C6"/>
    <w:rsid w:val="000F031A"/>
    <w:rsid w:val="000F0576"/>
    <w:rsid w:val="000F0E69"/>
    <w:rsid w:val="000F0F33"/>
    <w:rsid w:val="000F1736"/>
    <w:rsid w:val="000F2651"/>
    <w:rsid w:val="000F271E"/>
    <w:rsid w:val="000F283B"/>
    <w:rsid w:val="000F2A59"/>
    <w:rsid w:val="000F328C"/>
    <w:rsid w:val="000F36A9"/>
    <w:rsid w:val="000F42D3"/>
    <w:rsid w:val="000F4599"/>
    <w:rsid w:val="000F53BB"/>
    <w:rsid w:val="000F5488"/>
    <w:rsid w:val="000F5530"/>
    <w:rsid w:val="000F5F5F"/>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407B"/>
    <w:rsid w:val="0012475E"/>
    <w:rsid w:val="00124DA0"/>
    <w:rsid w:val="00124E4D"/>
    <w:rsid w:val="001252A7"/>
    <w:rsid w:val="00125824"/>
    <w:rsid w:val="00125AFA"/>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B1C"/>
    <w:rsid w:val="00133EB9"/>
    <w:rsid w:val="001348D2"/>
    <w:rsid w:val="00134F93"/>
    <w:rsid w:val="0013512A"/>
    <w:rsid w:val="00135141"/>
    <w:rsid w:val="00135898"/>
    <w:rsid w:val="00135C70"/>
    <w:rsid w:val="00136B9F"/>
    <w:rsid w:val="00136ECA"/>
    <w:rsid w:val="0013728B"/>
    <w:rsid w:val="00137A20"/>
    <w:rsid w:val="001403C3"/>
    <w:rsid w:val="00140987"/>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50D9B"/>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51FD"/>
    <w:rsid w:val="00155826"/>
    <w:rsid w:val="001562F2"/>
    <w:rsid w:val="00156DDB"/>
    <w:rsid w:val="00156FA1"/>
    <w:rsid w:val="0015714C"/>
    <w:rsid w:val="00157C9C"/>
    <w:rsid w:val="001601FD"/>
    <w:rsid w:val="0016089E"/>
    <w:rsid w:val="00160B74"/>
    <w:rsid w:val="0016195F"/>
    <w:rsid w:val="001620DA"/>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709D"/>
    <w:rsid w:val="001770AB"/>
    <w:rsid w:val="00177986"/>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88B"/>
    <w:rsid w:val="00196522"/>
    <w:rsid w:val="001967B5"/>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DF"/>
    <w:rsid w:val="001B659B"/>
    <w:rsid w:val="001B6BFD"/>
    <w:rsid w:val="001B6C60"/>
    <w:rsid w:val="001B6F51"/>
    <w:rsid w:val="001B7033"/>
    <w:rsid w:val="001B708E"/>
    <w:rsid w:val="001B716F"/>
    <w:rsid w:val="001B72DC"/>
    <w:rsid w:val="001B7AC7"/>
    <w:rsid w:val="001C03BA"/>
    <w:rsid w:val="001C08A7"/>
    <w:rsid w:val="001C0CC6"/>
    <w:rsid w:val="001C11FD"/>
    <w:rsid w:val="001C1302"/>
    <w:rsid w:val="001C1BB3"/>
    <w:rsid w:val="001C23E8"/>
    <w:rsid w:val="001C2FC7"/>
    <w:rsid w:val="001C34DC"/>
    <w:rsid w:val="001C37A9"/>
    <w:rsid w:val="001C389D"/>
    <w:rsid w:val="001C3B26"/>
    <w:rsid w:val="001C4141"/>
    <w:rsid w:val="001C4764"/>
    <w:rsid w:val="001C4B3F"/>
    <w:rsid w:val="001C562B"/>
    <w:rsid w:val="001C5661"/>
    <w:rsid w:val="001C5822"/>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299"/>
    <w:rsid w:val="001E36E8"/>
    <w:rsid w:val="001E399C"/>
    <w:rsid w:val="001E3ABE"/>
    <w:rsid w:val="001E3B64"/>
    <w:rsid w:val="001E4374"/>
    <w:rsid w:val="001E4987"/>
    <w:rsid w:val="001E4AE1"/>
    <w:rsid w:val="001E5048"/>
    <w:rsid w:val="001E5665"/>
    <w:rsid w:val="001E5D78"/>
    <w:rsid w:val="001E6112"/>
    <w:rsid w:val="001E6381"/>
    <w:rsid w:val="001E6C10"/>
    <w:rsid w:val="001E71A9"/>
    <w:rsid w:val="001E74A4"/>
    <w:rsid w:val="001E7D6A"/>
    <w:rsid w:val="001E7E6C"/>
    <w:rsid w:val="001F00E3"/>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81"/>
    <w:rsid w:val="002205AB"/>
    <w:rsid w:val="002209D7"/>
    <w:rsid w:val="00220BF6"/>
    <w:rsid w:val="00221594"/>
    <w:rsid w:val="002219F0"/>
    <w:rsid w:val="00221D90"/>
    <w:rsid w:val="00222AC9"/>
    <w:rsid w:val="00222AD6"/>
    <w:rsid w:val="002237B8"/>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970"/>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46BB"/>
    <w:rsid w:val="00234D85"/>
    <w:rsid w:val="00235640"/>
    <w:rsid w:val="00235789"/>
    <w:rsid w:val="002357ED"/>
    <w:rsid w:val="0023619D"/>
    <w:rsid w:val="002363C6"/>
    <w:rsid w:val="00236ED7"/>
    <w:rsid w:val="00237480"/>
    <w:rsid w:val="00237506"/>
    <w:rsid w:val="002402E8"/>
    <w:rsid w:val="00240848"/>
    <w:rsid w:val="00240923"/>
    <w:rsid w:val="00240F0B"/>
    <w:rsid w:val="002410C7"/>
    <w:rsid w:val="0024120C"/>
    <w:rsid w:val="002415BD"/>
    <w:rsid w:val="00241962"/>
    <w:rsid w:val="00241D80"/>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1F67"/>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CE6"/>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60D"/>
    <w:rsid w:val="00277DDF"/>
    <w:rsid w:val="00280251"/>
    <w:rsid w:val="002803EF"/>
    <w:rsid w:val="00280528"/>
    <w:rsid w:val="002806BD"/>
    <w:rsid w:val="002806C5"/>
    <w:rsid w:val="0028071D"/>
    <w:rsid w:val="00280B47"/>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54A3"/>
    <w:rsid w:val="00295820"/>
    <w:rsid w:val="00295B7A"/>
    <w:rsid w:val="00295E28"/>
    <w:rsid w:val="0029621D"/>
    <w:rsid w:val="00296CC1"/>
    <w:rsid w:val="00296E6B"/>
    <w:rsid w:val="00297451"/>
    <w:rsid w:val="002A17A3"/>
    <w:rsid w:val="002A1EF2"/>
    <w:rsid w:val="002A1FAF"/>
    <w:rsid w:val="002A2166"/>
    <w:rsid w:val="002A23C5"/>
    <w:rsid w:val="002A23C8"/>
    <w:rsid w:val="002A2993"/>
    <w:rsid w:val="002A3E86"/>
    <w:rsid w:val="002A41AA"/>
    <w:rsid w:val="002A4264"/>
    <w:rsid w:val="002A5AEB"/>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86C"/>
    <w:rsid w:val="002D5E3C"/>
    <w:rsid w:val="002D64FC"/>
    <w:rsid w:val="002D65C7"/>
    <w:rsid w:val="002D6B69"/>
    <w:rsid w:val="002D6BDE"/>
    <w:rsid w:val="002D7685"/>
    <w:rsid w:val="002E01D7"/>
    <w:rsid w:val="002E0753"/>
    <w:rsid w:val="002E092D"/>
    <w:rsid w:val="002E0C61"/>
    <w:rsid w:val="002E0CAF"/>
    <w:rsid w:val="002E1055"/>
    <w:rsid w:val="002E17D8"/>
    <w:rsid w:val="002E2623"/>
    <w:rsid w:val="002E3C54"/>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99"/>
    <w:rsid w:val="002F6321"/>
    <w:rsid w:val="002F64DA"/>
    <w:rsid w:val="002F68FF"/>
    <w:rsid w:val="002F6D5F"/>
    <w:rsid w:val="002F6F3F"/>
    <w:rsid w:val="002F7041"/>
    <w:rsid w:val="002F71E0"/>
    <w:rsid w:val="002F743E"/>
    <w:rsid w:val="002F744E"/>
    <w:rsid w:val="002F7A58"/>
    <w:rsid w:val="002F7FD1"/>
    <w:rsid w:val="00300ACD"/>
    <w:rsid w:val="00300BD6"/>
    <w:rsid w:val="00300FBA"/>
    <w:rsid w:val="003015C6"/>
    <w:rsid w:val="003015D5"/>
    <w:rsid w:val="00301BD1"/>
    <w:rsid w:val="0030299D"/>
    <w:rsid w:val="00302FC2"/>
    <w:rsid w:val="00303113"/>
    <w:rsid w:val="00303418"/>
    <w:rsid w:val="003036A1"/>
    <w:rsid w:val="00303D7A"/>
    <w:rsid w:val="003049BE"/>
    <w:rsid w:val="00304F87"/>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73D"/>
    <w:rsid w:val="00313C9C"/>
    <w:rsid w:val="00315294"/>
    <w:rsid w:val="00315554"/>
    <w:rsid w:val="003157EA"/>
    <w:rsid w:val="0031609C"/>
    <w:rsid w:val="00316758"/>
    <w:rsid w:val="00316E2C"/>
    <w:rsid w:val="00317CBE"/>
    <w:rsid w:val="00317EAC"/>
    <w:rsid w:val="003206FE"/>
    <w:rsid w:val="003209EC"/>
    <w:rsid w:val="00320B8D"/>
    <w:rsid w:val="0032123A"/>
    <w:rsid w:val="00321B37"/>
    <w:rsid w:val="00321CF9"/>
    <w:rsid w:val="00322018"/>
    <w:rsid w:val="003226DF"/>
    <w:rsid w:val="00322851"/>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5C1"/>
    <w:rsid w:val="003467EC"/>
    <w:rsid w:val="003475CD"/>
    <w:rsid w:val="00347818"/>
    <w:rsid w:val="00350393"/>
    <w:rsid w:val="00350E88"/>
    <w:rsid w:val="00350F2A"/>
    <w:rsid w:val="00351204"/>
    <w:rsid w:val="00351816"/>
    <w:rsid w:val="00351D18"/>
    <w:rsid w:val="003527B2"/>
    <w:rsid w:val="003529B8"/>
    <w:rsid w:val="00352D4E"/>
    <w:rsid w:val="00352EED"/>
    <w:rsid w:val="00353C93"/>
    <w:rsid w:val="0035466A"/>
    <w:rsid w:val="0035574C"/>
    <w:rsid w:val="00355B94"/>
    <w:rsid w:val="00355CCD"/>
    <w:rsid w:val="00355E14"/>
    <w:rsid w:val="0035625A"/>
    <w:rsid w:val="0035628B"/>
    <w:rsid w:val="003566FF"/>
    <w:rsid w:val="00356AE9"/>
    <w:rsid w:val="00356C29"/>
    <w:rsid w:val="00357B38"/>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787"/>
    <w:rsid w:val="00382868"/>
    <w:rsid w:val="00382D5F"/>
    <w:rsid w:val="00382FB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477E"/>
    <w:rsid w:val="003B4FEF"/>
    <w:rsid w:val="003B4FFE"/>
    <w:rsid w:val="003B5182"/>
    <w:rsid w:val="003B5239"/>
    <w:rsid w:val="003B52B0"/>
    <w:rsid w:val="003B5923"/>
    <w:rsid w:val="003B5F06"/>
    <w:rsid w:val="003B6788"/>
    <w:rsid w:val="003B7022"/>
    <w:rsid w:val="003B7116"/>
    <w:rsid w:val="003B7478"/>
    <w:rsid w:val="003B7809"/>
    <w:rsid w:val="003B7A73"/>
    <w:rsid w:val="003B7D4B"/>
    <w:rsid w:val="003B7D8B"/>
    <w:rsid w:val="003C0C25"/>
    <w:rsid w:val="003C0DDE"/>
    <w:rsid w:val="003C23ED"/>
    <w:rsid w:val="003C2545"/>
    <w:rsid w:val="003C29FD"/>
    <w:rsid w:val="003C3A38"/>
    <w:rsid w:val="003C3C8B"/>
    <w:rsid w:val="003C52D2"/>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1871"/>
    <w:rsid w:val="003E203F"/>
    <w:rsid w:val="003E2670"/>
    <w:rsid w:val="003E3722"/>
    <w:rsid w:val="003E3882"/>
    <w:rsid w:val="003E3BB1"/>
    <w:rsid w:val="003E4724"/>
    <w:rsid w:val="003E5859"/>
    <w:rsid w:val="003E5CD9"/>
    <w:rsid w:val="003E659A"/>
    <w:rsid w:val="003E67A1"/>
    <w:rsid w:val="003E733A"/>
    <w:rsid w:val="003F0446"/>
    <w:rsid w:val="003F0B0C"/>
    <w:rsid w:val="003F0D60"/>
    <w:rsid w:val="003F0DA9"/>
    <w:rsid w:val="003F13F9"/>
    <w:rsid w:val="003F163F"/>
    <w:rsid w:val="003F1884"/>
    <w:rsid w:val="003F18A6"/>
    <w:rsid w:val="003F1C38"/>
    <w:rsid w:val="003F1D8A"/>
    <w:rsid w:val="003F2B13"/>
    <w:rsid w:val="003F36EA"/>
    <w:rsid w:val="003F3945"/>
    <w:rsid w:val="003F3C51"/>
    <w:rsid w:val="003F4293"/>
    <w:rsid w:val="003F4A5A"/>
    <w:rsid w:val="003F4C6F"/>
    <w:rsid w:val="003F4E30"/>
    <w:rsid w:val="003F509D"/>
    <w:rsid w:val="003F573C"/>
    <w:rsid w:val="003F6400"/>
    <w:rsid w:val="003F6BAD"/>
    <w:rsid w:val="00400147"/>
    <w:rsid w:val="00400F18"/>
    <w:rsid w:val="0040123F"/>
    <w:rsid w:val="00401648"/>
    <w:rsid w:val="00401DC0"/>
    <w:rsid w:val="00401E1C"/>
    <w:rsid w:val="004025AB"/>
    <w:rsid w:val="004029DE"/>
    <w:rsid w:val="0040356F"/>
    <w:rsid w:val="004035EE"/>
    <w:rsid w:val="00403FE8"/>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4446"/>
    <w:rsid w:val="004246C0"/>
    <w:rsid w:val="004257EF"/>
    <w:rsid w:val="00425AD1"/>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3EC"/>
    <w:rsid w:val="0044078E"/>
    <w:rsid w:val="0044085B"/>
    <w:rsid w:val="004408C0"/>
    <w:rsid w:val="00440C47"/>
    <w:rsid w:val="00440EDD"/>
    <w:rsid w:val="0044155C"/>
    <w:rsid w:val="004428C3"/>
    <w:rsid w:val="00442DA2"/>
    <w:rsid w:val="00442FA8"/>
    <w:rsid w:val="00443076"/>
    <w:rsid w:val="004431B5"/>
    <w:rsid w:val="004442A4"/>
    <w:rsid w:val="004446E5"/>
    <w:rsid w:val="00444DA8"/>
    <w:rsid w:val="00444EA5"/>
    <w:rsid w:val="004453CF"/>
    <w:rsid w:val="00445828"/>
    <w:rsid w:val="00445B93"/>
    <w:rsid w:val="00445CEA"/>
    <w:rsid w:val="00445FB2"/>
    <w:rsid w:val="00447967"/>
    <w:rsid w:val="004508E8"/>
    <w:rsid w:val="00450C01"/>
    <w:rsid w:val="004514B4"/>
    <w:rsid w:val="004518E0"/>
    <w:rsid w:val="00452211"/>
    <w:rsid w:val="00452487"/>
    <w:rsid w:val="004529AD"/>
    <w:rsid w:val="00452BB4"/>
    <w:rsid w:val="00452D22"/>
    <w:rsid w:val="00453086"/>
    <w:rsid w:val="00453204"/>
    <w:rsid w:val="004549EC"/>
    <w:rsid w:val="00454BDE"/>
    <w:rsid w:val="00454C79"/>
    <w:rsid w:val="00454D5C"/>
    <w:rsid w:val="00455352"/>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2523"/>
    <w:rsid w:val="00472760"/>
    <w:rsid w:val="00473001"/>
    <w:rsid w:val="004737E6"/>
    <w:rsid w:val="004744F8"/>
    <w:rsid w:val="00474557"/>
    <w:rsid w:val="0047468C"/>
    <w:rsid w:val="00474E3C"/>
    <w:rsid w:val="0047518D"/>
    <w:rsid w:val="00475B51"/>
    <w:rsid w:val="00475E71"/>
    <w:rsid w:val="0047656F"/>
    <w:rsid w:val="004765C2"/>
    <w:rsid w:val="004774B7"/>
    <w:rsid w:val="00477558"/>
    <w:rsid w:val="0047795F"/>
    <w:rsid w:val="00480132"/>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877"/>
    <w:rsid w:val="00497F51"/>
    <w:rsid w:val="004A047F"/>
    <w:rsid w:val="004A075E"/>
    <w:rsid w:val="004A0793"/>
    <w:rsid w:val="004A08E9"/>
    <w:rsid w:val="004A0A2F"/>
    <w:rsid w:val="004A11BD"/>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EB"/>
    <w:rsid w:val="004B1BF1"/>
    <w:rsid w:val="004B1D2E"/>
    <w:rsid w:val="004B1D66"/>
    <w:rsid w:val="004B1EEB"/>
    <w:rsid w:val="004B1F64"/>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411"/>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585"/>
    <w:rsid w:val="004D0C60"/>
    <w:rsid w:val="004D0D39"/>
    <w:rsid w:val="004D10D7"/>
    <w:rsid w:val="004D11A2"/>
    <w:rsid w:val="004D21E4"/>
    <w:rsid w:val="004D3ADB"/>
    <w:rsid w:val="004D3C23"/>
    <w:rsid w:val="004D3D59"/>
    <w:rsid w:val="004D4120"/>
    <w:rsid w:val="004D4538"/>
    <w:rsid w:val="004D4A9F"/>
    <w:rsid w:val="004D4F74"/>
    <w:rsid w:val="004D4FB6"/>
    <w:rsid w:val="004D572F"/>
    <w:rsid w:val="004D5BC5"/>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A35"/>
    <w:rsid w:val="004E5418"/>
    <w:rsid w:val="004E585B"/>
    <w:rsid w:val="004E6B02"/>
    <w:rsid w:val="004E70A9"/>
    <w:rsid w:val="004E76F5"/>
    <w:rsid w:val="004F0970"/>
    <w:rsid w:val="004F16E2"/>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65"/>
    <w:rsid w:val="00505094"/>
    <w:rsid w:val="00505528"/>
    <w:rsid w:val="005059E2"/>
    <w:rsid w:val="00505C31"/>
    <w:rsid w:val="00505CC2"/>
    <w:rsid w:val="005062A9"/>
    <w:rsid w:val="00506764"/>
    <w:rsid w:val="0050723A"/>
    <w:rsid w:val="00507262"/>
    <w:rsid w:val="005073C6"/>
    <w:rsid w:val="005074DF"/>
    <w:rsid w:val="00507593"/>
    <w:rsid w:val="00507AD8"/>
    <w:rsid w:val="005100B2"/>
    <w:rsid w:val="0051016B"/>
    <w:rsid w:val="005102E6"/>
    <w:rsid w:val="00510B56"/>
    <w:rsid w:val="00511565"/>
    <w:rsid w:val="00511CD1"/>
    <w:rsid w:val="005122D8"/>
    <w:rsid w:val="00512D6A"/>
    <w:rsid w:val="00512E5E"/>
    <w:rsid w:val="00513006"/>
    <w:rsid w:val="005135EA"/>
    <w:rsid w:val="00513698"/>
    <w:rsid w:val="0051390A"/>
    <w:rsid w:val="00514955"/>
    <w:rsid w:val="00514ABA"/>
    <w:rsid w:val="00514B76"/>
    <w:rsid w:val="00514C5A"/>
    <w:rsid w:val="00514C6D"/>
    <w:rsid w:val="00514D8A"/>
    <w:rsid w:val="00514F6B"/>
    <w:rsid w:val="00516146"/>
    <w:rsid w:val="005161A9"/>
    <w:rsid w:val="00516384"/>
    <w:rsid w:val="005173F8"/>
    <w:rsid w:val="0051792A"/>
    <w:rsid w:val="00517B5C"/>
    <w:rsid w:val="00517E6C"/>
    <w:rsid w:val="00517EC9"/>
    <w:rsid w:val="00517F09"/>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32D7"/>
    <w:rsid w:val="0053355C"/>
    <w:rsid w:val="00533BA8"/>
    <w:rsid w:val="00533DD2"/>
    <w:rsid w:val="005346E8"/>
    <w:rsid w:val="00534980"/>
    <w:rsid w:val="0053569A"/>
    <w:rsid w:val="00535702"/>
    <w:rsid w:val="00536850"/>
    <w:rsid w:val="00536AC8"/>
    <w:rsid w:val="00537430"/>
    <w:rsid w:val="005374E4"/>
    <w:rsid w:val="00540611"/>
    <w:rsid w:val="00541579"/>
    <w:rsid w:val="005424BE"/>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2F3"/>
    <w:rsid w:val="00556574"/>
    <w:rsid w:val="00556607"/>
    <w:rsid w:val="005566E0"/>
    <w:rsid w:val="00556E2F"/>
    <w:rsid w:val="00556EF2"/>
    <w:rsid w:val="00556FE4"/>
    <w:rsid w:val="00557E84"/>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628"/>
    <w:rsid w:val="00591961"/>
    <w:rsid w:val="005929A6"/>
    <w:rsid w:val="00593D23"/>
    <w:rsid w:val="00594762"/>
    <w:rsid w:val="00595820"/>
    <w:rsid w:val="00595D9B"/>
    <w:rsid w:val="00596E62"/>
    <w:rsid w:val="00596F26"/>
    <w:rsid w:val="00597401"/>
    <w:rsid w:val="00597C42"/>
    <w:rsid w:val="005A1B4F"/>
    <w:rsid w:val="005A1D81"/>
    <w:rsid w:val="005A1E82"/>
    <w:rsid w:val="005A1E97"/>
    <w:rsid w:val="005A2454"/>
    <w:rsid w:val="005A27A8"/>
    <w:rsid w:val="005A2A9B"/>
    <w:rsid w:val="005A3CCD"/>
    <w:rsid w:val="005A40A1"/>
    <w:rsid w:val="005A445E"/>
    <w:rsid w:val="005A4A78"/>
    <w:rsid w:val="005A684B"/>
    <w:rsid w:val="005A6AB6"/>
    <w:rsid w:val="005A6AD0"/>
    <w:rsid w:val="005B05C2"/>
    <w:rsid w:val="005B0B42"/>
    <w:rsid w:val="005B0FD6"/>
    <w:rsid w:val="005B15C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537"/>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196C"/>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246"/>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DFF"/>
    <w:rsid w:val="006415C2"/>
    <w:rsid w:val="006418C7"/>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4E4"/>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CA6"/>
    <w:rsid w:val="00681D01"/>
    <w:rsid w:val="00681F73"/>
    <w:rsid w:val="00681F76"/>
    <w:rsid w:val="00682042"/>
    <w:rsid w:val="00682623"/>
    <w:rsid w:val="00682A8F"/>
    <w:rsid w:val="00682C84"/>
    <w:rsid w:val="006830FA"/>
    <w:rsid w:val="006831A5"/>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121E"/>
    <w:rsid w:val="00691346"/>
    <w:rsid w:val="00691BD5"/>
    <w:rsid w:val="006920DB"/>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6A7"/>
    <w:rsid w:val="006A4A4E"/>
    <w:rsid w:val="006A5591"/>
    <w:rsid w:val="006A5C86"/>
    <w:rsid w:val="006A60DA"/>
    <w:rsid w:val="006A657D"/>
    <w:rsid w:val="006A72BC"/>
    <w:rsid w:val="006A7836"/>
    <w:rsid w:val="006B06D5"/>
    <w:rsid w:val="006B1A12"/>
    <w:rsid w:val="006B1CCC"/>
    <w:rsid w:val="006B1D30"/>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2"/>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8D0"/>
    <w:rsid w:val="006F6A64"/>
    <w:rsid w:val="006F73DC"/>
    <w:rsid w:val="006F771D"/>
    <w:rsid w:val="007002D7"/>
    <w:rsid w:val="00700D3F"/>
    <w:rsid w:val="00700FC3"/>
    <w:rsid w:val="00701041"/>
    <w:rsid w:val="00701AE6"/>
    <w:rsid w:val="00701E48"/>
    <w:rsid w:val="00702B46"/>
    <w:rsid w:val="00702D05"/>
    <w:rsid w:val="00702F3A"/>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B2D"/>
    <w:rsid w:val="00714EED"/>
    <w:rsid w:val="00715F29"/>
    <w:rsid w:val="00716909"/>
    <w:rsid w:val="00716B79"/>
    <w:rsid w:val="00717C09"/>
    <w:rsid w:val="00717DA6"/>
    <w:rsid w:val="00720226"/>
    <w:rsid w:val="00721145"/>
    <w:rsid w:val="00721760"/>
    <w:rsid w:val="007219C0"/>
    <w:rsid w:val="0072216B"/>
    <w:rsid w:val="00722889"/>
    <w:rsid w:val="0072288E"/>
    <w:rsid w:val="007230BD"/>
    <w:rsid w:val="00723D35"/>
    <w:rsid w:val="00723EEE"/>
    <w:rsid w:val="0072428F"/>
    <w:rsid w:val="00724596"/>
    <w:rsid w:val="007245D5"/>
    <w:rsid w:val="0072461D"/>
    <w:rsid w:val="007246E8"/>
    <w:rsid w:val="00724826"/>
    <w:rsid w:val="00724A47"/>
    <w:rsid w:val="00724D7B"/>
    <w:rsid w:val="007250AA"/>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491"/>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23"/>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0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11A"/>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3BE"/>
    <w:rsid w:val="007923C3"/>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0D2"/>
    <w:rsid w:val="007A6186"/>
    <w:rsid w:val="007A68BF"/>
    <w:rsid w:val="007A6C83"/>
    <w:rsid w:val="007A7007"/>
    <w:rsid w:val="007A70F0"/>
    <w:rsid w:val="007A7ACB"/>
    <w:rsid w:val="007A7D77"/>
    <w:rsid w:val="007A7F24"/>
    <w:rsid w:val="007B0104"/>
    <w:rsid w:val="007B0CAF"/>
    <w:rsid w:val="007B1026"/>
    <w:rsid w:val="007B1D67"/>
    <w:rsid w:val="007B2EEB"/>
    <w:rsid w:val="007B34A4"/>
    <w:rsid w:val="007B3803"/>
    <w:rsid w:val="007B3E89"/>
    <w:rsid w:val="007B4B86"/>
    <w:rsid w:val="007B4CE1"/>
    <w:rsid w:val="007B668A"/>
    <w:rsid w:val="007B692F"/>
    <w:rsid w:val="007B74A3"/>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E35"/>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81C"/>
    <w:rsid w:val="007D6903"/>
    <w:rsid w:val="007D69DB"/>
    <w:rsid w:val="007D6C92"/>
    <w:rsid w:val="007D6E1E"/>
    <w:rsid w:val="007D726E"/>
    <w:rsid w:val="007D73BB"/>
    <w:rsid w:val="007D77FB"/>
    <w:rsid w:val="007D782C"/>
    <w:rsid w:val="007D79DC"/>
    <w:rsid w:val="007D7C00"/>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5298"/>
    <w:rsid w:val="007E5849"/>
    <w:rsid w:val="007E5932"/>
    <w:rsid w:val="007E5D47"/>
    <w:rsid w:val="007E5E89"/>
    <w:rsid w:val="007E5F5F"/>
    <w:rsid w:val="007E66C3"/>
    <w:rsid w:val="007E6AEC"/>
    <w:rsid w:val="007E6E66"/>
    <w:rsid w:val="007E7153"/>
    <w:rsid w:val="007E7858"/>
    <w:rsid w:val="007E7E42"/>
    <w:rsid w:val="007E7FA5"/>
    <w:rsid w:val="007F010F"/>
    <w:rsid w:val="007F011F"/>
    <w:rsid w:val="007F1254"/>
    <w:rsid w:val="007F1E2C"/>
    <w:rsid w:val="007F2CE5"/>
    <w:rsid w:val="007F2D82"/>
    <w:rsid w:val="007F3A0F"/>
    <w:rsid w:val="007F43AF"/>
    <w:rsid w:val="007F465B"/>
    <w:rsid w:val="007F4F66"/>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D60"/>
    <w:rsid w:val="00807DB1"/>
    <w:rsid w:val="00807E3B"/>
    <w:rsid w:val="00810015"/>
    <w:rsid w:val="00811546"/>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FE0"/>
    <w:rsid w:val="00843E56"/>
    <w:rsid w:val="008444F9"/>
    <w:rsid w:val="00844EA3"/>
    <w:rsid w:val="00844ED4"/>
    <w:rsid w:val="0084518E"/>
    <w:rsid w:val="00845780"/>
    <w:rsid w:val="00845ED2"/>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7A1F"/>
    <w:rsid w:val="00857ABD"/>
    <w:rsid w:val="00857CCB"/>
    <w:rsid w:val="00860325"/>
    <w:rsid w:val="00860762"/>
    <w:rsid w:val="00860B1B"/>
    <w:rsid w:val="00861583"/>
    <w:rsid w:val="008628A0"/>
    <w:rsid w:val="00862A5F"/>
    <w:rsid w:val="00862B09"/>
    <w:rsid w:val="00862CC7"/>
    <w:rsid w:val="00863426"/>
    <w:rsid w:val="00864B8F"/>
    <w:rsid w:val="008654C4"/>
    <w:rsid w:val="0086590A"/>
    <w:rsid w:val="00865D22"/>
    <w:rsid w:val="008666D1"/>
    <w:rsid w:val="00866C67"/>
    <w:rsid w:val="0086722A"/>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C6"/>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417"/>
    <w:rsid w:val="008D2C98"/>
    <w:rsid w:val="008D2F33"/>
    <w:rsid w:val="008D3535"/>
    <w:rsid w:val="008D356F"/>
    <w:rsid w:val="008D436F"/>
    <w:rsid w:val="008D4775"/>
    <w:rsid w:val="008D4945"/>
    <w:rsid w:val="008D4FDA"/>
    <w:rsid w:val="008D531D"/>
    <w:rsid w:val="008D5718"/>
    <w:rsid w:val="008D62A3"/>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220"/>
    <w:rsid w:val="00950ABD"/>
    <w:rsid w:val="00950D30"/>
    <w:rsid w:val="00951E66"/>
    <w:rsid w:val="0095234C"/>
    <w:rsid w:val="00953878"/>
    <w:rsid w:val="009539C1"/>
    <w:rsid w:val="00953A7B"/>
    <w:rsid w:val="00953E13"/>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2BD6"/>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294"/>
    <w:rsid w:val="009676B8"/>
    <w:rsid w:val="009678E8"/>
    <w:rsid w:val="00967EA8"/>
    <w:rsid w:val="00970CB3"/>
    <w:rsid w:val="00970F79"/>
    <w:rsid w:val="0097103A"/>
    <w:rsid w:val="009711E1"/>
    <w:rsid w:val="00971280"/>
    <w:rsid w:val="00971CE7"/>
    <w:rsid w:val="009722C2"/>
    <w:rsid w:val="00972381"/>
    <w:rsid w:val="0097347A"/>
    <w:rsid w:val="00973F19"/>
    <w:rsid w:val="00974092"/>
    <w:rsid w:val="00974CDE"/>
    <w:rsid w:val="00974E2C"/>
    <w:rsid w:val="00975351"/>
    <w:rsid w:val="009759B0"/>
    <w:rsid w:val="00975D89"/>
    <w:rsid w:val="00977056"/>
    <w:rsid w:val="00977063"/>
    <w:rsid w:val="00977C87"/>
    <w:rsid w:val="00977F7F"/>
    <w:rsid w:val="00977FD7"/>
    <w:rsid w:val="0098030D"/>
    <w:rsid w:val="009816BB"/>
    <w:rsid w:val="0098217F"/>
    <w:rsid w:val="009824C3"/>
    <w:rsid w:val="009831C4"/>
    <w:rsid w:val="0098370F"/>
    <w:rsid w:val="00983CB4"/>
    <w:rsid w:val="009845C3"/>
    <w:rsid w:val="009848B8"/>
    <w:rsid w:val="009848F6"/>
    <w:rsid w:val="00984BDD"/>
    <w:rsid w:val="00985FFE"/>
    <w:rsid w:val="00986065"/>
    <w:rsid w:val="009860A7"/>
    <w:rsid w:val="009865DF"/>
    <w:rsid w:val="00986806"/>
    <w:rsid w:val="00986C52"/>
    <w:rsid w:val="00987C70"/>
    <w:rsid w:val="00987DF6"/>
    <w:rsid w:val="0099005A"/>
    <w:rsid w:val="0099056B"/>
    <w:rsid w:val="009906EC"/>
    <w:rsid w:val="00990C29"/>
    <w:rsid w:val="00990D67"/>
    <w:rsid w:val="00990DD4"/>
    <w:rsid w:val="00991450"/>
    <w:rsid w:val="009917AE"/>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865"/>
    <w:rsid w:val="009A2BCA"/>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759"/>
    <w:rsid w:val="009F2B99"/>
    <w:rsid w:val="009F3042"/>
    <w:rsid w:val="009F313C"/>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99"/>
    <w:rsid w:val="00A16066"/>
    <w:rsid w:val="00A163B8"/>
    <w:rsid w:val="00A16C22"/>
    <w:rsid w:val="00A16D69"/>
    <w:rsid w:val="00A17682"/>
    <w:rsid w:val="00A17B89"/>
    <w:rsid w:val="00A17F78"/>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BB4"/>
    <w:rsid w:val="00A34BE2"/>
    <w:rsid w:val="00A34DC3"/>
    <w:rsid w:val="00A35D50"/>
    <w:rsid w:val="00A408CD"/>
    <w:rsid w:val="00A413CA"/>
    <w:rsid w:val="00A41695"/>
    <w:rsid w:val="00A42C7F"/>
    <w:rsid w:val="00A42C99"/>
    <w:rsid w:val="00A4355A"/>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2E74"/>
    <w:rsid w:val="00A531E4"/>
    <w:rsid w:val="00A54416"/>
    <w:rsid w:val="00A54851"/>
    <w:rsid w:val="00A56490"/>
    <w:rsid w:val="00A566B8"/>
    <w:rsid w:val="00A56CDF"/>
    <w:rsid w:val="00A603D6"/>
    <w:rsid w:val="00A61092"/>
    <w:rsid w:val="00A62109"/>
    <w:rsid w:val="00A62286"/>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8DB"/>
    <w:rsid w:val="00AA3A29"/>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900"/>
    <w:rsid w:val="00AB142D"/>
    <w:rsid w:val="00AB245E"/>
    <w:rsid w:val="00AB355A"/>
    <w:rsid w:val="00AB381A"/>
    <w:rsid w:val="00AB3F41"/>
    <w:rsid w:val="00AB3F86"/>
    <w:rsid w:val="00AB4242"/>
    <w:rsid w:val="00AB44C2"/>
    <w:rsid w:val="00AB452B"/>
    <w:rsid w:val="00AB4A2F"/>
    <w:rsid w:val="00AB4A9B"/>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E0713"/>
    <w:rsid w:val="00AE075C"/>
    <w:rsid w:val="00AE0882"/>
    <w:rsid w:val="00AE0DD0"/>
    <w:rsid w:val="00AE0FC9"/>
    <w:rsid w:val="00AE102C"/>
    <w:rsid w:val="00AE17C7"/>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B8C"/>
    <w:rsid w:val="00AF4FB6"/>
    <w:rsid w:val="00AF5730"/>
    <w:rsid w:val="00AF5B11"/>
    <w:rsid w:val="00AF5DAA"/>
    <w:rsid w:val="00AF5EB0"/>
    <w:rsid w:val="00AF6B1B"/>
    <w:rsid w:val="00AF6C00"/>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5C4C"/>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64E"/>
    <w:rsid w:val="00B3351A"/>
    <w:rsid w:val="00B33544"/>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032"/>
    <w:rsid w:val="00B45243"/>
    <w:rsid w:val="00B4580D"/>
    <w:rsid w:val="00B458DE"/>
    <w:rsid w:val="00B466DE"/>
    <w:rsid w:val="00B46708"/>
    <w:rsid w:val="00B46D69"/>
    <w:rsid w:val="00B470EF"/>
    <w:rsid w:val="00B47509"/>
    <w:rsid w:val="00B50FE9"/>
    <w:rsid w:val="00B512DB"/>
    <w:rsid w:val="00B51FC3"/>
    <w:rsid w:val="00B52DD7"/>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F6E"/>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8727E"/>
    <w:rsid w:val="00B90D93"/>
    <w:rsid w:val="00B9129A"/>
    <w:rsid w:val="00B91DDC"/>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79C"/>
    <w:rsid w:val="00C119CA"/>
    <w:rsid w:val="00C11DEB"/>
    <w:rsid w:val="00C12768"/>
    <w:rsid w:val="00C127B9"/>
    <w:rsid w:val="00C127DA"/>
    <w:rsid w:val="00C12ED3"/>
    <w:rsid w:val="00C12F52"/>
    <w:rsid w:val="00C137A0"/>
    <w:rsid w:val="00C13B9C"/>
    <w:rsid w:val="00C1458B"/>
    <w:rsid w:val="00C15E92"/>
    <w:rsid w:val="00C17516"/>
    <w:rsid w:val="00C17643"/>
    <w:rsid w:val="00C17F44"/>
    <w:rsid w:val="00C2009C"/>
    <w:rsid w:val="00C201AD"/>
    <w:rsid w:val="00C204A9"/>
    <w:rsid w:val="00C2080B"/>
    <w:rsid w:val="00C20901"/>
    <w:rsid w:val="00C20E48"/>
    <w:rsid w:val="00C2151F"/>
    <w:rsid w:val="00C21860"/>
    <w:rsid w:val="00C21D83"/>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337F"/>
    <w:rsid w:val="00C433B9"/>
    <w:rsid w:val="00C437F1"/>
    <w:rsid w:val="00C43D1B"/>
    <w:rsid w:val="00C44854"/>
    <w:rsid w:val="00C455EF"/>
    <w:rsid w:val="00C45A95"/>
    <w:rsid w:val="00C4646F"/>
    <w:rsid w:val="00C466D0"/>
    <w:rsid w:val="00C4683F"/>
    <w:rsid w:val="00C46D24"/>
    <w:rsid w:val="00C5050E"/>
    <w:rsid w:val="00C505BF"/>
    <w:rsid w:val="00C50CC7"/>
    <w:rsid w:val="00C50EB1"/>
    <w:rsid w:val="00C51773"/>
    <w:rsid w:val="00C5184D"/>
    <w:rsid w:val="00C520C5"/>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FD6"/>
    <w:rsid w:val="00C57060"/>
    <w:rsid w:val="00C57573"/>
    <w:rsid w:val="00C5768B"/>
    <w:rsid w:val="00C57802"/>
    <w:rsid w:val="00C603B0"/>
    <w:rsid w:val="00C60565"/>
    <w:rsid w:val="00C60843"/>
    <w:rsid w:val="00C6096D"/>
    <w:rsid w:val="00C6115B"/>
    <w:rsid w:val="00C61411"/>
    <w:rsid w:val="00C61467"/>
    <w:rsid w:val="00C6186D"/>
    <w:rsid w:val="00C62217"/>
    <w:rsid w:val="00C62AEC"/>
    <w:rsid w:val="00C62FB4"/>
    <w:rsid w:val="00C63242"/>
    <w:rsid w:val="00C634B9"/>
    <w:rsid w:val="00C638F4"/>
    <w:rsid w:val="00C63AE3"/>
    <w:rsid w:val="00C64439"/>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AEA"/>
    <w:rsid w:val="00C7724A"/>
    <w:rsid w:val="00C7749E"/>
    <w:rsid w:val="00C779E5"/>
    <w:rsid w:val="00C77C76"/>
    <w:rsid w:val="00C80047"/>
    <w:rsid w:val="00C80158"/>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500"/>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93F"/>
    <w:rsid w:val="00CC6E0B"/>
    <w:rsid w:val="00CC6EF5"/>
    <w:rsid w:val="00CC71EC"/>
    <w:rsid w:val="00CC7654"/>
    <w:rsid w:val="00CC7AEE"/>
    <w:rsid w:val="00CC7C4D"/>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5F3A"/>
    <w:rsid w:val="00CE6996"/>
    <w:rsid w:val="00CE6D23"/>
    <w:rsid w:val="00CE72B9"/>
    <w:rsid w:val="00CE752E"/>
    <w:rsid w:val="00CE783C"/>
    <w:rsid w:val="00CF0CC0"/>
    <w:rsid w:val="00CF1715"/>
    <w:rsid w:val="00CF18E6"/>
    <w:rsid w:val="00CF1FD9"/>
    <w:rsid w:val="00CF2558"/>
    <w:rsid w:val="00CF28A3"/>
    <w:rsid w:val="00CF387C"/>
    <w:rsid w:val="00CF3AAF"/>
    <w:rsid w:val="00CF4EE4"/>
    <w:rsid w:val="00CF587C"/>
    <w:rsid w:val="00CF5A19"/>
    <w:rsid w:val="00CF5D2A"/>
    <w:rsid w:val="00CF621D"/>
    <w:rsid w:val="00CF681C"/>
    <w:rsid w:val="00CF692C"/>
    <w:rsid w:val="00CF740D"/>
    <w:rsid w:val="00CF7DD7"/>
    <w:rsid w:val="00D00630"/>
    <w:rsid w:val="00D00D75"/>
    <w:rsid w:val="00D01453"/>
    <w:rsid w:val="00D017E5"/>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129"/>
    <w:rsid w:val="00D302B5"/>
    <w:rsid w:val="00D30308"/>
    <w:rsid w:val="00D3085D"/>
    <w:rsid w:val="00D30A1E"/>
    <w:rsid w:val="00D31AEA"/>
    <w:rsid w:val="00D31DE7"/>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7E2"/>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19C"/>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0CF1"/>
    <w:rsid w:val="00D91A1D"/>
    <w:rsid w:val="00D91B23"/>
    <w:rsid w:val="00D91F03"/>
    <w:rsid w:val="00D92783"/>
    <w:rsid w:val="00D92C02"/>
    <w:rsid w:val="00D92C3E"/>
    <w:rsid w:val="00D9370A"/>
    <w:rsid w:val="00D93985"/>
    <w:rsid w:val="00D943F1"/>
    <w:rsid w:val="00D945E3"/>
    <w:rsid w:val="00D9496A"/>
    <w:rsid w:val="00D94BAE"/>
    <w:rsid w:val="00D957D9"/>
    <w:rsid w:val="00D95A78"/>
    <w:rsid w:val="00D96BA3"/>
    <w:rsid w:val="00D96E59"/>
    <w:rsid w:val="00D97C82"/>
    <w:rsid w:val="00DA04E3"/>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53A"/>
    <w:rsid w:val="00DE483E"/>
    <w:rsid w:val="00DE4B21"/>
    <w:rsid w:val="00DE4CFF"/>
    <w:rsid w:val="00DE581C"/>
    <w:rsid w:val="00DE5D41"/>
    <w:rsid w:val="00DE6FAD"/>
    <w:rsid w:val="00DE730F"/>
    <w:rsid w:val="00DE745F"/>
    <w:rsid w:val="00DE79AB"/>
    <w:rsid w:val="00DF0001"/>
    <w:rsid w:val="00DF0772"/>
    <w:rsid w:val="00DF089D"/>
    <w:rsid w:val="00DF0C82"/>
    <w:rsid w:val="00DF0D85"/>
    <w:rsid w:val="00DF16E1"/>
    <w:rsid w:val="00DF18E8"/>
    <w:rsid w:val="00DF1E58"/>
    <w:rsid w:val="00DF37BA"/>
    <w:rsid w:val="00DF38FA"/>
    <w:rsid w:val="00DF3E1F"/>
    <w:rsid w:val="00DF4445"/>
    <w:rsid w:val="00DF456D"/>
    <w:rsid w:val="00DF4AC3"/>
    <w:rsid w:val="00DF5028"/>
    <w:rsid w:val="00DF513E"/>
    <w:rsid w:val="00DF53DD"/>
    <w:rsid w:val="00DF53EB"/>
    <w:rsid w:val="00DF588E"/>
    <w:rsid w:val="00DF5DBC"/>
    <w:rsid w:val="00DF5E57"/>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DCB"/>
    <w:rsid w:val="00E0364D"/>
    <w:rsid w:val="00E0383D"/>
    <w:rsid w:val="00E03CE9"/>
    <w:rsid w:val="00E04058"/>
    <w:rsid w:val="00E050B5"/>
    <w:rsid w:val="00E068B8"/>
    <w:rsid w:val="00E07133"/>
    <w:rsid w:val="00E07C0A"/>
    <w:rsid w:val="00E10803"/>
    <w:rsid w:val="00E11245"/>
    <w:rsid w:val="00E1127E"/>
    <w:rsid w:val="00E1174C"/>
    <w:rsid w:val="00E11A21"/>
    <w:rsid w:val="00E12243"/>
    <w:rsid w:val="00E1240C"/>
    <w:rsid w:val="00E1246D"/>
    <w:rsid w:val="00E125E0"/>
    <w:rsid w:val="00E128A8"/>
    <w:rsid w:val="00E1375D"/>
    <w:rsid w:val="00E147B3"/>
    <w:rsid w:val="00E148EA"/>
    <w:rsid w:val="00E15910"/>
    <w:rsid w:val="00E1604A"/>
    <w:rsid w:val="00E165AB"/>
    <w:rsid w:val="00E16C24"/>
    <w:rsid w:val="00E1726B"/>
    <w:rsid w:val="00E172E8"/>
    <w:rsid w:val="00E17333"/>
    <w:rsid w:val="00E176A4"/>
    <w:rsid w:val="00E17A5D"/>
    <w:rsid w:val="00E17D32"/>
    <w:rsid w:val="00E17EAD"/>
    <w:rsid w:val="00E17FFD"/>
    <w:rsid w:val="00E2213D"/>
    <w:rsid w:val="00E2263E"/>
    <w:rsid w:val="00E22AC6"/>
    <w:rsid w:val="00E23428"/>
    <w:rsid w:val="00E23C3E"/>
    <w:rsid w:val="00E24916"/>
    <w:rsid w:val="00E2502E"/>
    <w:rsid w:val="00E25847"/>
    <w:rsid w:val="00E25A5D"/>
    <w:rsid w:val="00E25FD8"/>
    <w:rsid w:val="00E26960"/>
    <w:rsid w:val="00E26B3B"/>
    <w:rsid w:val="00E26D5A"/>
    <w:rsid w:val="00E27201"/>
    <w:rsid w:val="00E2720B"/>
    <w:rsid w:val="00E274A6"/>
    <w:rsid w:val="00E2780F"/>
    <w:rsid w:val="00E27C58"/>
    <w:rsid w:val="00E27C76"/>
    <w:rsid w:val="00E27F9B"/>
    <w:rsid w:val="00E318A3"/>
    <w:rsid w:val="00E31F45"/>
    <w:rsid w:val="00E3201A"/>
    <w:rsid w:val="00E32A4A"/>
    <w:rsid w:val="00E32B29"/>
    <w:rsid w:val="00E33ABD"/>
    <w:rsid w:val="00E3482C"/>
    <w:rsid w:val="00E34A05"/>
    <w:rsid w:val="00E34BA2"/>
    <w:rsid w:val="00E34EDA"/>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2DA6"/>
    <w:rsid w:val="00E63065"/>
    <w:rsid w:val="00E63B3F"/>
    <w:rsid w:val="00E63C25"/>
    <w:rsid w:val="00E63F75"/>
    <w:rsid w:val="00E64F5A"/>
    <w:rsid w:val="00E653E6"/>
    <w:rsid w:val="00E6581C"/>
    <w:rsid w:val="00E66DA8"/>
    <w:rsid w:val="00E66DB7"/>
    <w:rsid w:val="00E66F50"/>
    <w:rsid w:val="00E674B6"/>
    <w:rsid w:val="00E67AAF"/>
    <w:rsid w:val="00E67C87"/>
    <w:rsid w:val="00E7029D"/>
    <w:rsid w:val="00E7135A"/>
    <w:rsid w:val="00E72157"/>
    <w:rsid w:val="00E73464"/>
    <w:rsid w:val="00E74147"/>
    <w:rsid w:val="00E74DAD"/>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4169"/>
    <w:rsid w:val="00E94406"/>
    <w:rsid w:val="00E944A3"/>
    <w:rsid w:val="00E94628"/>
    <w:rsid w:val="00E94DB7"/>
    <w:rsid w:val="00E95127"/>
    <w:rsid w:val="00E95287"/>
    <w:rsid w:val="00E958AA"/>
    <w:rsid w:val="00E96074"/>
    <w:rsid w:val="00E969EC"/>
    <w:rsid w:val="00E96ED7"/>
    <w:rsid w:val="00E97099"/>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56EB"/>
    <w:rsid w:val="00EC74A8"/>
    <w:rsid w:val="00EC7539"/>
    <w:rsid w:val="00EC7862"/>
    <w:rsid w:val="00ED0534"/>
    <w:rsid w:val="00ED13C4"/>
    <w:rsid w:val="00ED1544"/>
    <w:rsid w:val="00ED16DB"/>
    <w:rsid w:val="00ED1AC8"/>
    <w:rsid w:val="00ED1CFE"/>
    <w:rsid w:val="00ED1F4A"/>
    <w:rsid w:val="00ED26B8"/>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FD8"/>
    <w:rsid w:val="00EE40D3"/>
    <w:rsid w:val="00EE40F7"/>
    <w:rsid w:val="00EE49F2"/>
    <w:rsid w:val="00EE568B"/>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40D6"/>
    <w:rsid w:val="00EF45A5"/>
    <w:rsid w:val="00EF4731"/>
    <w:rsid w:val="00EF4D18"/>
    <w:rsid w:val="00EF52A7"/>
    <w:rsid w:val="00EF5644"/>
    <w:rsid w:val="00EF63E9"/>
    <w:rsid w:val="00EF64A3"/>
    <w:rsid w:val="00EF6B04"/>
    <w:rsid w:val="00EF706A"/>
    <w:rsid w:val="00EF7378"/>
    <w:rsid w:val="00EF7A64"/>
    <w:rsid w:val="00EF7EC2"/>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25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729"/>
    <w:rsid w:val="00F23861"/>
    <w:rsid w:val="00F23B8E"/>
    <w:rsid w:val="00F23C2E"/>
    <w:rsid w:val="00F23E7F"/>
    <w:rsid w:val="00F25390"/>
    <w:rsid w:val="00F2611C"/>
    <w:rsid w:val="00F26B4E"/>
    <w:rsid w:val="00F2706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D4"/>
    <w:rsid w:val="00F51E73"/>
    <w:rsid w:val="00F51F24"/>
    <w:rsid w:val="00F53253"/>
    <w:rsid w:val="00F534BD"/>
    <w:rsid w:val="00F535A2"/>
    <w:rsid w:val="00F53B72"/>
    <w:rsid w:val="00F53BC0"/>
    <w:rsid w:val="00F53F7B"/>
    <w:rsid w:val="00F55319"/>
    <w:rsid w:val="00F5606F"/>
    <w:rsid w:val="00F562ED"/>
    <w:rsid w:val="00F56E8B"/>
    <w:rsid w:val="00F578B7"/>
    <w:rsid w:val="00F60279"/>
    <w:rsid w:val="00F609BB"/>
    <w:rsid w:val="00F6148A"/>
    <w:rsid w:val="00F6190C"/>
    <w:rsid w:val="00F61EC6"/>
    <w:rsid w:val="00F62579"/>
    <w:rsid w:val="00F62960"/>
    <w:rsid w:val="00F62E72"/>
    <w:rsid w:val="00F64431"/>
    <w:rsid w:val="00F64CE8"/>
    <w:rsid w:val="00F65A6C"/>
    <w:rsid w:val="00F65D26"/>
    <w:rsid w:val="00F664CE"/>
    <w:rsid w:val="00F66992"/>
    <w:rsid w:val="00F672BB"/>
    <w:rsid w:val="00F67472"/>
    <w:rsid w:val="00F674EF"/>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AB2"/>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E2B"/>
    <w:rsid w:val="00F941A1"/>
    <w:rsid w:val="00F944D5"/>
    <w:rsid w:val="00F94662"/>
    <w:rsid w:val="00F95271"/>
    <w:rsid w:val="00F952A8"/>
    <w:rsid w:val="00F95382"/>
    <w:rsid w:val="00F95775"/>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5A4"/>
    <w:rsid w:val="00FB062D"/>
    <w:rsid w:val="00FB066E"/>
    <w:rsid w:val="00FB0E0B"/>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3909"/>
    <w:rsid w:val="00FD395A"/>
    <w:rsid w:val="00FD3960"/>
    <w:rsid w:val="00FD3FAC"/>
    <w:rsid w:val="00FD418C"/>
    <w:rsid w:val="00FD5731"/>
    <w:rsid w:val="00FD581B"/>
    <w:rsid w:val="00FD63F9"/>
    <w:rsid w:val="00FD65C6"/>
    <w:rsid w:val="00FD69E7"/>
    <w:rsid w:val="00FD6FDE"/>
    <w:rsid w:val="00FD72F3"/>
    <w:rsid w:val="00FD760B"/>
    <w:rsid w:val="00FE11A1"/>
    <w:rsid w:val="00FE21E4"/>
    <w:rsid w:val="00FE22EE"/>
    <w:rsid w:val="00FE22FF"/>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56CEF609-181F-4FD7-AC8A-952D910DD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tabs>
        <w:tab w:val="num" w:pos="1499"/>
      </w:tabs>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paragraph" w:customStyle="1" w:styleId="BN">
    <w:name w:val="BN"/>
    <w:basedOn w:val="Normal"/>
    <w:rsid w:val="000E4A17"/>
    <w:pPr>
      <w:numPr>
        <w:numId w:val="34"/>
      </w:numPr>
    </w:pPr>
    <w:rPr>
      <w:lang w:val="en-GB"/>
    </w:rPr>
  </w:style>
  <w:style w:type="character" w:customStyle="1" w:styleId="EQChar">
    <w:name w:val="EQ Char"/>
    <w:link w:val="EQ"/>
    <w:qFormat/>
    <w:locked/>
    <w:rsid w:val="000E4A17"/>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0782897">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MeetingDetails.asp?m_id=18779"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2798C-AFB2-4390-8B02-8A95430DD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5</Pages>
  <Words>1059</Words>
  <Characters>6040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7085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Laurent Noel</cp:lastModifiedBy>
  <cp:revision>3</cp:revision>
  <cp:lastPrinted>2010-01-07T15:23:00Z</cp:lastPrinted>
  <dcterms:created xsi:type="dcterms:W3CDTF">2019-08-16T21:32:00Z</dcterms:created>
  <dcterms:modified xsi:type="dcterms:W3CDTF">2019-08-16T21:49:00Z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